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2B" w:rsidRPr="00060513" w:rsidRDefault="005F6D02" w:rsidP="0005322B">
      <w:pPr>
        <w:jc w:val="center"/>
        <w:rPr>
          <w:rFonts w:cs="Times New Roman"/>
          <w:b/>
        </w:rPr>
      </w:pPr>
      <w:r w:rsidRPr="00060513">
        <w:rPr>
          <w:rFonts w:cs="Times New Roman"/>
          <w:b/>
        </w:rPr>
        <w:t>HIST</w:t>
      </w:r>
      <w:r w:rsidR="00D73FFB">
        <w:rPr>
          <w:rFonts w:cs="Times New Roman"/>
          <w:b/>
        </w:rPr>
        <w:t xml:space="preserve">/AFRC/LALS </w:t>
      </w:r>
      <w:r w:rsidRPr="00060513">
        <w:rPr>
          <w:rFonts w:cs="Times New Roman"/>
          <w:b/>
        </w:rPr>
        <w:t>248</w:t>
      </w:r>
    </w:p>
    <w:p w:rsidR="0005322B" w:rsidRPr="00060513" w:rsidRDefault="0005322B" w:rsidP="0005322B">
      <w:pPr>
        <w:jc w:val="center"/>
        <w:rPr>
          <w:rFonts w:cs="Times New Roman"/>
          <w:b/>
        </w:rPr>
      </w:pPr>
      <w:r w:rsidRPr="00060513">
        <w:rPr>
          <w:rFonts w:cs="Times New Roman"/>
          <w:b/>
        </w:rPr>
        <w:t xml:space="preserve">The </w:t>
      </w:r>
      <w:r w:rsidR="000C4552" w:rsidRPr="00060513">
        <w:rPr>
          <w:rFonts w:cs="Times New Roman"/>
          <w:b/>
        </w:rPr>
        <w:t>Haitian Revolution</w:t>
      </w:r>
    </w:p>
    <w:p w:rsidR="006641A6" w:rsidRPr="00060513" w:rsidRDefault="00666491" w:rsidP="006641A6">
      <w:pPr>
        <w:jc w:val="center"/>
        <w:rPr>
          <w:rFonts w:cs="Times New Roman"/>
        </w:rPr>
      </w:pPr>
      <w:r w:rsidRPr="00060513">
        <w:rPr>
          <w:rFonts w:cs="Times New Roman"/>
        </w:rPr>
        <w:t>University of Pennsylvania</w:t>
      </w:r>
      <w:r w:rsidR="006641A6" w:rsidRPr="00060513">
        <w:rPr>
          <w:rFonts w:cs="Times New Roman"/>
        </w:rPr>
        <w:t xml:space="preserve"> </w:t>
      </w:r>
      <w:r w:rsidRPr="00060513">
        <w:rPr>
          <w:rFonts w:cs="Times New Roman"/>
        </w:rPr>
        <w:t>Department of History</w:t>
      </w:r>
      <w:r w:rsidR="006641A6" w:rsidRPr="00060513">
        <w:rPr>
          <w:rFonts w:cs="Times New Roman"/>
        </w:rPr>
        <w:t xml:space="preserve"> </w:t>
      </w:r>
    </w:p>
    <w:p w:rsidR="00666491" w:rsidRPr="00060513" w:rsidRDefault="00C52B70" w:rsidP="006641A6">
      <w:pPr>
        <w:jc w:val="center"/>
        <w:rPr>
          <w:rFonts w:cs="Times New Roman"/>
        </w:rPr>
      </w:pPr>
      <w:r w:rsidRPr="00060513">
        <w:rPr>
          <w:rFonts w:cs="Times New Roman"/>
        </w:rPr>
        <w:t>Fall 2018</w:t>
      </w:r>
    </w:p>
    <w:p w:rsidR="00666491" w:rsidRPr="00060513" w:rsidRDefault="00666491" w:rsidP="00531EA8">
      <w:pPr>
        <w:jc w:val="center"/>
        <w:rPr>
          <w:rFonts w:cs="Times New Roman"/>
        </w:rPr>
      </w:pPr>
      <w:r w:rsidRPr="00060513">
        <w:rPr>
          <w:rFonts w:cs="Times New Roman"/>
        </w:rPr>
        <w:t>Wednesday 2:00-5:00</w:t>
      </w:r>
    </w:p>
    <w:p w:rsidR="009E0A51" w:rsidRPr="00060513" w:rsidRDefault="004760B2" w:rsidP="00374664">
      <w:pPr>
        <w:rPr>
          <w:rFonts w:cs="Times New Roman"/>
        </w:rPr>
      </w:pPr>
      <w:r w:rsidRPr="00060513">
        <w:rPr>
          <w:rFonts w:cs="Times New Roman"/>
          <w:b/>
          <w:noProof/>
        </w:rPr>
        <w:drawing>
          <wp:anchor distT="0" distB="0" distL="114300" distR="114300" simplePos="0" relativeHeight="251658240" behindDoc="1" locked="0" layoutInCell="1" allowOverlap="1" wp14:anchorId="7B112F70" wp14:editId="5D55E10F">
            <wp:simplePos x="0" y="0"/>
            <wp:positionH relativeFrom="margin">
              <wp:posOffset>3400425</wp:posOffset>
            </wp:positionH>
            <wp:positionV relativeFrom="paragraph">
              <wp:posOffset>163830</wp:posOffset>
            </wp:positionV>
            <wp:extent cx="2817495" cy="4018280"/>
            <wp:effectExtent l="0" t="0" r="1905" b="1270"/>
            <wp:wrapTight wrapText="bothSides">
              <wp:wrapPolygon edited="0">
                <wp:start x="0" y="0"/>
                <wp:lineTo x="0" y="21504"/>
                <wp:lineTo x="21469" y="21504"/>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ssaint on horseback.jpg"/>
                    <pic:cNvPicPr/>
                  </pic:nvPicPr>
                  <pic:blipFill>
                    <a:blip r:embed="rId8">
                      <a:extLst>
                        <a:ext uri="{28A0092B-C50C-407E-A947-70E740481C1C}">
                          <a14:useLocalDpi xmlns:a14="http://schemas.microsoft.com/office/drawing/2010/main" val="0"/>
                        </a:ext>
                      </a:extLst>
                    </a:blip>
                    <a:stretch>
                      <a:fillRect/>
                    </a:stretch>
                  </pic:blipFill>
                  <pic:spPr>
                    <a:xfrm>
                      <a:off x="0" y="0"/>
                      <a:ext cx="2817495" cy="4018280"/>
                    </a:xfrm>
                    <a:prstGeom prst="rect">
                      <a:avLst/>
                    </a:prstGeom>
                  </pic:spPr>
                </pic:pic>
              </a:graphicData>
            </a:graphic>
            <wp14:sizeRelH relativeFrom="page">
              <wp14:pctWidth>0</wp14:pctWidth>
            </wp14:sizeRelH>
            <wp14:sizeRelV relativeFrom="page">
              <wp14:pctHeight>0</wp14:pctHeight>
            </wp14:sizeRelV>
          </wp:anchor>
        </w:drawing>
      </w:r>
    </w:p>
    <w:p w:rsidR="009E0A51" w:rsidRPr="00060513" w:rsidRDefault="00666491" w:rsidP="00374664">
      <w:pPr>
        <w:rPr>
          <w:rFonts w:cs="Times New Roman"/>
        </w:rPr>
      </w:pPr>
      <w:r w:rsidRPr="00060513">
        <w:rPr>
          <w:rFonts w:cs="Times New Roman"/>
        </w:rPr>
        <w:t>Dr. Yvonne Fabella</w:t>
      </w:r>
      <w:r w:rsidR="009E0A51" w:rsidRPr="00060513">
        <w:rPr>
          <w:rFonts w:cs="Times New Roman"/>
        </w:rPr>
        <w:tab/>
      </w:r>
      <w:r w:rsidR="009E0A51" w:rsidRPr="00060513">
        <w:rPr>
          <w:rFonts w:cs="Times New Roman"/>
        </w:rPr>
        <w:tab/>
      </w:r>
    </w:p>
    <w:p w:rsidR="00666491" w:rsidRPr="00060513" w:rsidRDefault="00666491" w:rsidP="00374664">
      <w:pPr>
        <w:rPr>
          <w:rFonts w:cs="Times New Roman"/>
        </w:rPr>
      </w:pPr>
      <w:r w:rsidRPr="00060513">
        <w:rPr>
          <w:rFonts w:cs="Times New Roman"/>
        </w:rPr>
        <w:t>fabella@sas.upenn.edu</w:t>
      </w:r>
    </w:p>
    <w:p w:rsidR="00374664" w:rsidRPr="00060513" w:rsidRDefault="004B2D30" w:rsidP="00374664">
      <w:pPr>
        <w:rPr>
          <w:rFonts w:cs="Times New Roman"/>
        </w:rPr>
      </w:pPr>
      <w:r w:rsidRPr="00060513">
        <w:rPr>
          <w:rFonts w:cs="Times New Roman"/>
        </w:rPr>
        <w:t>College Hall 208C</w:t>
      </w:r>
    </w:p>
    <w:p w:rsidR="00374664" w:rsidRPr="00060513" w:rsidRDefault="00374664" w:rsidP="00374664">
      <w:pPr>
        <w:rPr>
          <w:rFonts w:cs="Times New Roman"/>
        </w:rPr>
      </w:pPr>
      <w:r w:rsidRPr="00060513">
        <w:rPr>
          <w:rFonts w:cs="Times New Roman"/>
        </w:rPr>
        <w:t>(215) 898-4576</w:t>
      </w:r>
    </w:p>
    <w:p w:rsidR="006641A6" w:rsidRPr="00060513" w:rsidRDefault="006641A6" w:rsidP="00374664">
      <w:pPr>
        <w:rPr>
          <w:rFonts w:cs="Times New Roman"/>
        </w:rPr>
      </w:pPr>
    </w:p>
    <w:p w:rsidR="00EC5B0C" w:rsidRPr="00060513" w:rsidRDefault="008F7827" w:rsidP="006641A6">
      <w:pPr>
        <w:jc w:val="center"/>
        <w:rPr>
          <w:rFonts w:cs="Times New Roman"/>
          <w:b/>
        </w:rPr>
      </w:pPr>
      <w:r w:rsidRPr="00060513">
        <w:rPr>
          <w:noProof/>
        </w:rPr>
        <w:drawing>
          <wp:inline distT="0" distB="0" distL="0" distR="0" wp14:anchorId="76BF9C4C" wp14:editId="2FDBFFA1">
            <wp:extent cx="10160" cy="10160"/>
            <wp:effectExtent l="0" t="0" r="0" b="0"/>
            <wp:docPr id="1" name="p" descr="http://www.histoire-image.org/pleincadre/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descr="http://www.histoire-image.org/pleincadre/img/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B1ABB" w:rsidRPr="00060513">
        <w:rPr>
          <w:rFonts w:cs="Times New Roman"/>
          <w:b/>
        </w:rPr>
        <w:t>Course Description</w:t>
      </w:r>
    </w:p>
    <w:p w:rsidR="002D2834" w:rsidRPr="00060513" w:rsidRDefault="002D2834" w:rsidP="002D2834">
      <w:pPr>
        <w:ind w:firstLine="720"/>
        <w:rPr>
          <w:rFonts w:cs="Times New Roman"/>
        </w:rPr>
      </w:pPr>
      <w:r w:rsidRPr="00060513">
        <w:rPr>
          <w:rFonts w:cs="Times New Roman"/>
        </w:rPr>
        <w:t>In August</w:t>
      </w:r>
      <w:r w:rsidR="000C14AB" w:rsidRPr="00060513">
        <w:rPr>
          <w:rFonts w:cs="Times New Roman"/>
        </w:rPr>
        <w:t xml:space="preserve"> 1791, enslaved African</w:t>
      </w:r>
      <w:r w:rsidR="008454ED" w:rsidRPr="00060513">
        <w:rPr>
          <w:rFonts w:cs="Times New Roman"/>
        </w:rPr>
        <w:t>s</w:t>
      </w:r>
      <w:r w:rsidR="00CF5250" w:rsidRPr="00060513">
        <w:rPr>
          <w:rFonts w:cs="Times New Roman"/>
        </w:rPr>
        <w:t xml:space="preserve"> </w:t>
      </w:r>
      <w:r w:rsidR="000C14AB" w:rsidRPr="00060513">
        <w:rPr>
          <w:rFonts w:cs="Times New Roman"/>
        </w:rPr>
        <w:t>on the northern plain of Saint Domingue (colonial Haiti) rose up in a coordinated attack against their French colonial masters, launching t</w:t>
      </w:r>
      <w:r w:rsidR="00AF6AEB" w:rsidRPr="00060513">
        <w:rPr>
          <w:rFonts w:cs="Times New Roman"/>
        </w:rPr>
        <w:t xml:space="preserve">he initial revolt in what would </w:t>
      </w:r>
      <w:r w:rsidR="000C14AB" w:rsidRPr="00060513">
        <w:rPr>
          <w:rFonts w:cs="Times New Roman"/>
        </w:rPr>
        <w:t xml:space="preserve">come to be known as the Haitian Revolution. </w:t>
      </w:r>
      <w:r w:rsidRPr="00060513">
        <w:rPr>
          <w:rFonts w:cs="Times New Roman"/>
        </w:rPr>
        <w:t xml:space="preserve">In the years that followed, their actions forced the legal abolition of racial discrimination, and then the abolition of slavery, throughout the French Empire. Ultimately, when Napoleon Bonaparte threatened to return slavery to Saint Domingue, </w:t>
      </w:r>
      <w:r w:rsidR="00CF5250" w:rsidRPr="00060513">
        <w:rPr>
          <w:rFonts w:cs="Times New Roman"/>
        </w:rPr>
        <w:t>they waged</w:t>
      </w:r>
      <w:r w:rsidRPr="00060513">
        <w:rPr>
          <w:rFonts w:cs="Times New Roman"/>
        </w:rPr>
        <w:t xml:space="preserve"> a war for independence. After defeating the Napoleonic army, these former slaves then declared the world’s first “Black Republic,” the independent state of Haiti, in 1804.  </w:t>
      </w:r>
    </w:p>
    <w:p w:rsidR="00A97983" w:rsidRPr="00060513" w:rsidRDefault="002D2834" w:rsidP="002D2834">
      <w:pPr>
        <w:ind w:firstLine="720"/>
        <w:rPr>
          <w:rFonts w:cs="Times New Roman"/>
        </w:rPr>
      </w:pPr>
      <w:r w:rsidRPr="00060513">
        <w:rPr>
          <w:rFonts w:cs="Times New Roman"/>
        </w:rPr>
        <w:t xml:space="preserve">This seminar will examine some of the major themes and debates surrounding Haiti’s colonial and revolutionary history.  We will begin </w:t>
      </w:r>
      <w:r w:rsidR="001C3859">
        <w:rPr>
          <w:rFonts w:cs="Times New Roman"/>
        </w:rPr>
        <w:t>with</w:t>
      </w:r>
      <w:r w:rsidRPr="00060513">
        <w:rPr>
          <w:rFonts w:cs="Times New Roman"/>
        </w:rPr>
        <w:t xml:space="preserve"> </w:t>
      </w:r>
      <w:r w:rsidR="001076BD" w:rsidRPr="00060513">
        <w:rPr>
          <w:rFonts w:cs="Times New Roman"/>
        </w:rPr>
        <w:t>the colonial paradox: France’s leading role</w:t>
      </w:r>
      <w:r w:rsidR="00CF5250" w:rsidRPr="00060513">
        <w:rPr>
          <w:rFonts w:cs="Times New Roman"/>
        </w:rPr>
        <w:t xml:space="preserve"> in the intellectual movement called the “Enlightenment” coincided with its ascent as a </w:t>
      </w:r>
      <w:r w:rsidR="001076BD" w:rsidRPr="00060513">
        <w:rPr>
          <w:rFonts w:cs="Times New Roman"/>
        </w:rPr>
        <w:t>slaveholding power</w:t>
      </w:r>
      <w:r w:rsidR="00CF5250" w:rsidRPr="00060513">
        <w:rPr>
          <w:rFonts w:cs="Times New Roman"/>
        </w:rPr>
        <w:t xml:space="preserve">.  </w:t>
      </w:r>
      <w:r w:rsidR="00B11E16">
        <w:rPr>
          <w:rFonts w:cs="Times New Roman"/>
        </w:rPr>
        <w:t>We</w:t>
      </w:r>
      <w:r w:rsidR="00CF5250" w:rsidRPr="00060513">
        <w:rPr>
          <w:rFonts w:cs="Times New Roman"/>
        </w:rPr>
        <w:t xml:space="preserve"> </w:t>
      </w:r>
      <w:r w:rsidR="00B11E16">
        <w:rPr>
          <w:rFonts w:cs="Times New Roman"/>
        </w:rPr>
        <w:t xml:space="preserve">then </w:t>
      </w:r>
      <w:r w:rsidR="001C3859">
        <w:rPr>
          <w:rFonts w:cs="Times New Roman"/>
        </w:rPr>
        <w:t>examine</w:t>
      </w:r>
      <w:r w:rsidR="00CF5250" w:rsidRPr="00060513">
        <w:rPr>
          <w:rFonts w:cs="Times New Roman"/>
        </w:rPr>
        <w:t xml:space="preserve"> parallels and points of connection between</w:t>
      </w:r>
      <w:r w:rsidR="00A97983" w:rsidRPr="00060513">
        <w:rPr>
          <w:rFonts w:cs="Times New Roman"/>
        </w:rPr>
        <w:t xml:space="preserve"> revolutionary movements in France and </w:t>
      </w:r>
      <w:r w:rsidR="001C3859">
        <w:rPr>
          <w:rFonts w:cs="Times New Roman"/>
        </w:rPr>
        <w:t>the Caribbean. Revolutionary principles</w:t>
      </w:r>
      <w:r w:rsidR="00C657E0">
        <w:rPr>
          <w:rFonts w:cs="Times New Roman"/>
        </w:rPr>
        <w:t xml:space="preserve"> like “freedom,” “equality,” and “citizenship” resonate</w:t>
      </w:r>
      <w:r w:rsidR="00F56A90">
        <w:rPr>
          <w:rFonts w:cs="Times New Roman"/>
        </w:rPr>
        <w:t>d</w:t>
      </w:r>
      <w:r w:rsidR="00C657E0">
        <w:rPr>
          <w:rFonts w:cs="Times New Roman"/>
        </w:rPr>
        <w:t xml:space="preserve"> </w:t>
      </w:r>
      <w:r w:rsidR="00F56A90">
        <w:rPr>
          <w:rFonts w:cs="Times New Roman"/>
        </w:rPr>
        <w:t>d</w:t>
      </w:r>
      <w:r w:rsidR="001C3859">
        <w:rPr>
          <w:rFonts w:cs="Times New Roman"/>
        </w:rPr>
        <w:t>ifferently in Saint Domingue,</w:t>
      </w:r>
      <w:r w:rsidR="00F56A90">
        <w:rPr>
          <w:rFonts w:cs="Times New Roman"/>
        </w:rPr>
        <w:t xml:space="preserve"> </w:t>
      </w:r>
      <w:r w:rsidR="001C3859">
        <w:rPr>
          <w:rFonts w:cs="Times New Roman"/>
        </w:rPr>
        <w:t xml:space="preserve">where leaders </w:t>
      </w:r>
      <w:r w:rsidR="00F56A90">
        <w:rPr>
          <w:rFonts w:cs="Times New Roman"/>
        </w:rPr>
        <w:t>struggled to implement them in ways that wou</w:t>
      </w:r>
      <w:r w:rsidR="001C3859">
        <w:rPr>
          <w:rFonts w:cs="Times New Roman"/>
        </w:rPr>
        <w:t>ld endure</w:t>
      </w:r>
      <w:r w:rsidR="00F56A90">
        <w:rPr>
          <w:rFonts w:cs="Times New Roman"/>
        </w:rPr>
        <w:t xml:space="preserve">.  </w:t>
      </w:r>
      <w:r w:rsidR="001C3859">
        <w:rPr>
          <w:rFonts w:cs="Times New Roman"/>
        </w:rPr>
        <w:t xml:space="preserve">The course also considers </w:t>
      </w:r>
      <w:r w:rsidR="00B11E16">
        <w:rPr>
          <w:rFonts w:cs="Times New Roman"/>
        </w:rPr>
        <w:t xml:space="preserve">the </w:t>
      </w:r>
      <w:r w:rsidR="001C3859">
        <w:rPr>
          <w:rFonts w:cs="Times New Roman"/>
        </w:rPr>
        <w:t>influence of African political ideologies</w:t>
      </w:r>
      <w:r w:rsidR="00F56A90">
        <w:rPr>
          <w:rFonts w:cs="Times New Roman"/>
        </w:rPr>
        <w:t xml:space="preserve"> and </w:t>
      </w:r>
      <w:r w:rsidR="001C3859">
        <w:rPr>
          <w:rFonts w:cs="Times New Roman"/>
        </w:rPr>
        <w:t xml:space="preserve">local religious practices (Vodou) on the revolutionaries’ organizational capacity and motivation.  Finally, we </w:t>
      </w:r>
      <w:r w:rsidR="004760B2">
        <w:rPr>
          <w:rFonts w:cs="Times New Roman"/>
        </w:rPr>
        <w:t>ask how</w:t>
      </w:r>
      <w:r w:rsidR="00C657E0">
        <w:rPr>
          <w:rFonts w:cs="Times New Roman"/>
        </w:rPr>
        <w:t xml:space="preserve"> </w:t>
      </w:r>
      <w:r w:rsidR="00CF5250" w:rsidRPr="00060513">
        <w:rPr>
          <w:rFonts w:cs="Times New Roman"/>
        </w:rPr>
        <w:t>the revolution in Saint Domingue</w:t>
      </w:r>
      <w:r w:rsidR="00A97983" w:rsidRPr="00060513">
        <w:rPr>
          <w:rFonts w:cs="Times New Roman"/>
        </w:rPr>
        <w:t>—and the birth of Haiti--</w:t>
      </w:r>
      <w:r w:rsidR="004760B2">
        <w:rPr>
          <w:rFonts w:cs="Times New Roman"/>
        </w:rPr>
        <w:t>influenced</w:t>
      </w:r>
      <w:r w:rsidR="00CF5250" w:rsidRPr="00060513">
        <w:rPr>
          <w:rFonts w:cs="Times New Roman"/>
        </w:rPr>
        <w:t xml:space="preserve"> ideas about liberty, sovereignty and freedom throughout the </w:t>
      </w:r>
      <w:r w:rsidR="004760B2">
        <w:rPr>
          <w:rFonts w:cs="Times New Roman"/>
        </w:rPr>
        <w:t xml:space="preserve">slaveholding Atlantic world, specifically in the U.S. and Cuba. </w:t>
      </w:r>
    </w:p>
    <w:p w:rsidR="007F7D39" w:rsidRPr="00060513" w:rsidRDefault="00C657E0" w:rsidP="002D2834">
      <w:pPr>
        <w:ind w:firstLine="720"/>
        <w:rPr>
          <w:rFonts w:cs="Times New Roman"/>
        </w:rPr>
      </w:pPr>
      <w:r>
        <w:rPr>
          <w:rFonts w:cs="Times New Roman"/>
        </w:rPr>
        <w:t>As we dive into the growing historical literature on this period, we will pay special attention to the question of primary sources</w:t>
      </w:r>
      <w:r>
        <w:rPr>
          <w:rFonts w:ascii="Cambria" w:eastAsia="Times New Roman" w:hAnsi="Cambria" w:cs="Times New Roman"/>
        </w:rPr>
        <w:t>.  How should we read texts produced during the revolutionary period differently from those produced by later scholars? H</w:t>
      </w:r>
      <w:r w:rsidRPr="00C657E0">
        <w:rPr>
          <w:rFonts w:ascii="Cambria" w:eastAsia="Times New Roman" w:hAnsi="Cambria" w:cs="Times New Roman"/>
        </w:rPr>
        <w:t xml:space="preserve">ow can we use </w:t>
      </w:r>
      <w:r>
        <w:rPr>
          <w:rFonts w:ascii="Cambria" w:eastAsia="Times New Roman" w:hAnsi="Cambria" w:cs="Times New Roman"/>
        </w:rPr>
        <w:t>the surviving primary sources</w:t>
      </w:r>
      <w:r w:rsidRPr="00C657E0">
        <w:rPr>
          <w:rFonts w:ascii="Cambria" w:eastAsia="Times New Roman" w:hAnsi="Cambria" w:cs="Times New Roman"/>
        </w:rPr>
        <w:t>—</w:t>
      </w:r>
      <w:r>
        <w:rPr>
          <w:rFonts w:ascii="Cambria" w:eastAsia="Times New Roman" w:hAnsi="Cambria" w:cs="Times New Roman"/>
        </w:rPr>
        <w:t xml:space="preserve">generated almost exclusively </w:t>
      </w:r>
      <w:r w:rsidRPr="00C657E0">
        <w:rPr>
          <w:rFonts w:ascii="Cambria" w:eastAsia="Times New Roman" w:hAnsi="Cambria" w:cs="Times New Roman"/>
        </w:rPr>
        <w:t xml:space="preserve">by colonial officials and elites—to access the experiences of </w:t>
      </w:r>
      <w:r>
        <w:rPr>
          <w:rFonts w:ascii="Cambria" w:eastAsia="Times New Roman" w:hAnsi="Cambria" w:cs="Times New Roman"/>
        </w:rPr>
        <w:t xml:space="preserve">the ex-slave revolutionaries? </w:t>
      </w:r>
    </w:p>
    <w:p w:rsidR="000F6629" w:rsidRPr="00060513" w:rsidRDefault="000F6629" w:rsidP="00374664">
      <w:pPr>
        <w:ind w:firstLine="720"/>
        <w:rPr>
          <w:rFonts w:cs="Times New Roman"/>
          <w:color w:val="FF0000"/>
        </w:rPr>
      </w:pPr>
    </w:p>
    <w:p w:rsidR="0005322B" w:rsidRPr="00060513" w:rsidRDefault="0005322B" w:rsidP="00374664">
      <w:pPr>
        <w:ind w:firstLine="720"/>
        <w:rPr>
          <w:rFonts w:cs="Times New Roman"/>
          <w:color w:val="FF0000"/>
        </w:rPr>
      </w:pPr>
    </w:p>
    <w:p w:rsidR="000F6629" w:rsidRPr="00060513" w:rsidRDefault="000F6629" w:rsidP="00374664">
      <w:pPr>
        <w:ind w:firstLine="720"/>
        <w:rPr>
          <w:rFonts w:cs="Times New Roman"/>
        </w:rPr>
      </w:pPr>
    </w:p>
    <w:p w:rsidR="000F6629" w:rsidRPr="00060513" w:rsidRDefault="000F6629" w:rsidP="007A7756">
      <w:pPr>
        <w:jc w:val="center"/>
        <w:rPr>
          <w:rFonts w:cs="Times New Roman"/>
          <w:b/>
        </w:rPr>
      </w:pPr>
      <w:r w:rsidRPr="00060513">
        <w:rPr>
          <w:rFonts w:cs="Times New Roman"/>
          <w:b/>
        </w:rPr>
        <w:t>Grade Distribution and Assignments</w:t>
      </w:r>
    </w:p>
    <w:p w:rsidR="00703C9C" w:rsidRPr="00D0132D" w:rsidRDefault="00703C9C" w:rsidP="00703C9C">
      <w:pPr>
        <w:numPr>
          <w:ilvl w:val="0"/>
          <w:numId w:val="31"/>
        </w:numPr>
        <w:spacing w:before="120"/>
        <w:rPr>
          <w:rFonts w:ascii="Cambria" w:hAnsi="Cambria"/>
        </w:rPr>
      </w:pPr>
      <w:r w:rsidRPr="00D0132D">
        <w:rPr>
          <w:rFonts w:ascii="Cambria" w:hAnsi="Cambria"/>
          <w:b/>
        </w:rPr>
        <w:t>Participation (20%):</w:t>
      </w:r>
      <w:r w:rsidRPr="00D0132D">
        <w:rPr>
          <w:rFonts w:ascii="Cambria" w:hAnsi="Cambria"/>
        </w:rPr>
        <w:br/>
        <w:t xml:space="preserve">Active, informed participation in every class is required.  As a discussion-based seminar, the course can only be successful if students complete the assigned reading thoroughly and thoughtfully, arriving in class prepared to talk about it.  Often, reading questions </w:t>
      </w:r>
      <w:r>
        <w:rPr>
          <w:rFonts w:ascii="Cambria" w:hAnsi="Cambria"/>
        </w:rPr>
        <w:t xml:space="preserve">will be posted to Canvas </w:t>
      </w:r>
      <w:r w:rsidRPr="00D0132D">
        <w:rPr>
          <w:rFonts w:ascii="Cambria" w:hAnsi="Cambria"/>
        </w:rPr>
        <w:t xml:space="preserve">beforehand; </w:t>
      </w:r>
      <w:r>
        <w:rPr>
          <w:rFonts w:ascii="Cambria" w:hAnsi="Cambria"/>
        </w:rPr>
        <w:t>students</w:t>
      </w:r>
      <w:r w:rsidRPr="00D0132D">
        <w:rPr>
          <w:rFonts w:ascii="Cambria" w:hAnsi="Cambria"/>
        </w:rPr>
        <w:t xml:space="preserve"> should be able to discuss those questions in class and cite examples from our texts to support </w:t>
      </w:r>
      <w:r>
        <w:rPr>
          <w:rFonts w:ascii="Cambria" w:hAnsi="Cambria"/>
        </w:rPr>
        <w:t>their</w:t>
      </w:r>
      <w:r w:rsidRPr="00D0132D">
        <w:rPr>
          <w:rFonts w:ascii="Cambria" w:hAnsi="Cambria"/>
        </w:rPr>
        <w:t xml:space="preserve"> conclusions.  During our class discussions, </w:t>
      </w:r>
      <w:r>
        <w:rPr>
          <w:rFonts w:ascii="Cambria" w:hAnsi="Cambria"/>
        </w:rPr>
        <w:t>students should</w:t>
      </w:r>
      <w:r w:rsidRPr="00D0132D">
        <w:rPr>
          <w:rFonts w:ascii="Cambria" w:hAnsi="Cambria"/>
        </w:rPr>
        <w:t xml:space="preserve"> engage </w:t>
      </w:r>
      <w:r>
        <w:rPr>
          <w:rFonts w:ascii="Cambria" w:hAnsi="Cambria"/>
        </w:rPr>
        <w:t>their</w:t>
      </w:r>
      <w:r w:rsidRPr="00D0132D">
        <w:rPr>
          <w:rFonts w:ascii="Cambria" w:hAnsi="Cambria"/>
        </w:rPr>
        <w:t xml:space="preserve"> </w:t>
      </w:r>
      <w:r>
        <w:rPr>
          <w:rFonts w:ascii="Cambria" w:hAnsi="Cambria"/>
        </w:rPr>
        <w:t>classmates</w:t>
      </w:r>
      <w:r w:rsidRPr="00D0132D">
        <w:rPr>
          <w:rFonts w:ascii="Cambria" w:hAnsi="Cambria"/>
        </w:rPr>
        <w:t xml:space="preserve">, responding to their perspectives and questions in addition to those of the instructor. This portion of </w:t>
      </w:r>
      <w:r>
        <w:rPr>
          <w:rFonts w:ascii="Cambria" w:hAnsi="Cambria"/>
        </w:rPr>
        <w:t>the</w:t>
      </w:r>
      <w:r w:rsidRPr="00D0132D">
        <w:rPr>
          <w:rFonts w:ascii="Cambria" w:hAnsi="Cambria"/>
        </w:rPr>
        <w:t xml:space="preserve"> final grade will also include </w:t>
      </w:r>
      <w:r>
        <w:rPr>
          <w:rFonts w:ascii="Cambria" w:hAnsi="Cambria"/>
        </w:rPr>
        <w:t>student</w:t>
      </w:r>
      <w:r w:rsidRPr="00D0132D">
        <w:rPr>
          <w:rFonts w:ascii="Cambria" w:hAnsi="Cambria"/>
        </w:rPr>
        <w:t xml:space="preserve"> contributions to in-class exercises.  Any absences will negatively affect </w:t>
      </w:r>
      <w:r>
        <w:rPr>
          <w:rFonts w:ascii="Cambria" w:hAnsi="Cambria"/>
        </w:rPr>
        <w:t>students’</w:t>
      </w:r>
      <w:r w:rsidRPr="00D0132D">
        <w:rPr>
          <w:rFonts w:ascii="Cambria" w:hAnsi="Cambria"/>
        </w:rPr>
        <w:t xml:space="preserve"> grade</w:t>
      </w:r>
      <w:r>
        <w:rPr>
          <w:rFonts w:ascii="Cambria" w:hAnsi="Cambria"/>
        </w:rPr>
        <w:t>s</w:t>
      </w:r>
      <w:r w:rsidRPr="00D0132D">
        <w:rPr>
          <w:rFonts w:ascii="Cambria" w:hAnsi="Cambria"/>
        </w:rPr>
        <w:t xml:space="preserve">.  </w:t>
      </w:r>
    </w:p>
    <w:p w:rsidR="00703C9C" w:rsidRPr="00D0132D" w:rsidRDefault="00703C9C" w:rsidP="00703C9C">
      <w:pPr>
        <w:numPr>
          <w:ilvl w:val="0"/>
          <w:numId w:val="31"/>
        </w:numPr>
        <w:spacing w:before="120"/>
        <w:rPr>
          <w:rFonts w:ascii="Cambria" w:hAnsi="Cambria"/>
        </w:rPr>
      </w:pPr>
      <w:r w:rsidRPr="00D0132D">
        <w:rPr>
          <w:rFonts w:ascii="Cambria" w:hAnsi="Cambria"/>
          <w:b/>
        </w:rPr>
        <w:t>Response Papers (20%)</w:t>
      </w:r>
      <w:r w:rsidRPr="00D0132D">
        <w:rPr>
          <w:rFonts w:ascii="Cambria" w:hAnsi="Cambria"/>
        </w:rPr>
        <w:br/>
        <w:t>Students are required to submit five short (1-2 page) papers respond</w:t>
      </w:r>
      <w:r w:rsidR="00365044">
        <w:rPr>
          <w:rFonts w:ascii="Cambria" w:hAnsi="Cambria"/>
        </w:rPr>
        <w:t>ing</w:t>
      </w:r>
      <w:r w:rsidRPr="00D0132D">
        <w:rPr>
          <w:rFonts w:ascii="Cambria" w:hAnsi="Cambria"/>
        </w:rPr>
        <w:t xml:space="preserve"> to our weekly readings.</w:t>
      </w:r>
      <w:r>
        <w:rPr>
          <w:rFonts w:ascii="Cambria" w:hAnsi="Cambria"/>
        </w:rPr>
        <w:t xml:space="preserve"> </w:t>
      </w:r>
      <w:r w:rsidRPr="00D0132D">
        <w:rPr>
          <w:rFonts w:ascii="Cambria" w:hAnsi="Cambria"/>
        </w:rPr>
        <w:t xml:space="preserve"> Students choose the weeks for which they write their papers, but </w:t>
      </w:r>
      <w:r w:rsidRPr="00365044">
        <w:rPr>
          <w:rFonts w:ascii="Cambria" w:hAnsi="Cambria"/>
          <w:bCs/>
          <w:i/>
        </w:rPr>
        <w:t xml:space="preserve">three of the five papers must be </w:t>
      </w:r>
      <w:r w:rsidR="00365044" w:rsidRPr="00365044">
        <w:rPr>
          <w:rFonts w:ascii="Cambria" w:hAnsi="Cambria"/>
          <w:bCs/>
          <w:i/>
        </w:rPr>
        <w:t>submitted</w:t>
      </w:r>
      <w:r w:rsidRPr="00365044">
        <w:rPr>
          <w:rFonts w:ascii="Cambria" w:hAnsi="Cambria"/>
          <w:bCs/>
          <w:i/>
        </w:rPr>
        <w:t xml:space="preserve"> </w:t>
      </w:r>
      <w:r w:rsidR="00365044" w:rsidRPr="00365044">
        <w:rPr>
          <w:rFonts w:ascii="Cambria" w:hAnsi="Cambria"/>
          <w:bCs/>
          <w:i/>
        </w:rPr>
        <w:t>by 10/10</w:t>
      </w:r>
      <w:r w:rsidRPr="00365044">
        <w:rPr>
          <w:rFonts w:ascii="Cambria" w:hAnsi="Cambria"/>
          <w:i/>
        </w:rPr>
        <w:t>.</w:t>
      </w:r>
      <w:r w:rsidRPr="00D0132D">
        <w:rPr>
          <w:rFonts w:ascii="Cambria" w:hAnsi="Cambria"/>
        </w:rPr>
        <w:t xml:space="preserve"> </w:t>
      </w:r>
      <w:r w:rsidR="00365044">
        <w:rPr>
          <w:rFonts w:ascii="Cambria" w:hAnsi="Cambria"/>
        </w:rPr>
        <w:t xml:space="preserve"> Papers</w:t>
      </w:r>
      <w:r w:rsidRPr="00D0132D">
        <w:rPr>
          <w:rFonts w:ascii="Cambria" w:hAnsi="Cambria"/>
        </w:rPr>
        <w:t xml:space="preserve"> </w:t>
      </w:r>
      <w:r w:rsidR="00365044">
        <w:rPr>
          <w:rFonts w:ascii="Cambria" w:hAnsi="Cambria"/>
        </w:rPr>
        <w:t>must be uploaded to</w:t>
      </w:r>
      <w:r w:rsidRPr="00D0132D">
        <w:rPr>
          <w:rFonts w:ascii="Cambria" w:hAnsi="Cambria"/>
        </w:rPr>
        <w:t xml:space="preserve"> Canvas </w:t>
      </w:r>
      <w:r w:rsidRPr="00D0132D">
        <w:rPr>
          <w:rFonts w:ascii="Cambria" w:hAnsi="Cambria"/>
          <w:i/>
        </w:rPr>
        <w:t xml:space="preserve">no later than </w:t>
      </w:r>
      <w:r w:rsidR="00365044">
        <w:rPr>
          <w:rFonts w:ascii="Cambria" w:hAnsi="Cambria"/>
          <w:i/>
        </w:rPr>
        <w:t>NOON</w:t>
      </w:r>
      <w:r w:rsidRPr="00D0132D">
        <w:rPr>
          <w:rFonts w:ascii="Cambria" w:hAnsi="Cambria"/>
        </w:rPr>
        <w:t xml:space="preserve"> on the day we discuss the readings addressed in the paper. </w:t>
      </w:r>
      <w:r w:rsidRPr="00D0132D">
        <w:rPr>
          <w:rFonts w:ascii="Cambria" w:hAnsi="Cambria"/>
        </w:rPr>
        <w:br/>
      </w:r>
      <w:r w:rsidRPr="00D0132D">
        <w:rPr>
          <w:rFonts w:ascii="Cambria" w:hAnsi="Cambria"/>
        </w:rPr>
        <w:br/>
        <w:t>Response papers should address one of the prompts listed below</w:t>
      </w:r>
      <w:r w:rsidR="00365044">
        <w:rPr>
          <w:rFonts w:ascii="Cambria" w:hAnsi="Cambria"/>
        </w:rPr>
        <w:t xml:space="preserve">, </w:t>
      </w:r>
      <w:r w:rsidRPr="00D0132D">
        <w:rPr>
          <w:rFonts w:ascii="Cambria" w:hAnsi="Cambria"/>
        </w:rPr>
        <w:t xml:space="preserve">incorporating specific examples (cited, with page numbers) from the texts.  Students </w:t>
      </w:r>
      <w:r w:rsidR="00365044">
        <w:rPr>
          <w:rFonts w:ascii="Cambria" w:hAnsi="Cambria"/>
        </w:rPr>
        <w:t>should</w:t>
      </w:r>
      <w:r w:rsidRPr="00D0132D">
        <w:rPr>
          <w:rFonts w:ascii="Cambria" w:hAnsi="Cambria"/>
        </w:rPr>
        <w:t xml:space="preserve"> not respond to the same prompt more than twice.  **The selected prompt should </w:t>
      </w:r>
      <w:r w:rsidR="00365044">
        <w:rPr>
          <w:rFonts w:ascii="Cambria" w:hAnsi="Cambria"/>
        </w:rPr>
        <w:t>appear</w:t>
      </w:r>
      <w:r w:rsidRPr="00D0132D">
        <w:rPr>
          <w:rFonts w:ascii="Cambria" w:hAnsi="Cambria"/>
        </w:rPr>
        <w:t xml:space="preserve"> at the top of each paper.**</w:t>
      </w:r>
    </w:p>
    <w:p w:rsidR="00703C9C" w:rsidRPr="00D0132D" w:rsidRDefault="00703C9C" w:rsidP="00703C9C">
      <w:pPr>
        <w:spacing w:before="120"/>
        <w:ind w:left="720"/>
        <w:rPr>
          <w:rFonts w:ascii="Cambria" w:hAnsi="Cambria"/>
        </w:rPr>
      </w:pPr>
      <w:r w:rsidRPr="00D0132D">
        <w:rPr>
          <w:rFonts w:ascii="Cambria" w:hAnsi="Cambria"/>
        </w:rPr>
        <w:t xml:space="preserve">How </w:t>
      </w:r>
      <w:r w:rsidR="00365044">
        <w:rPr>
          <w:rFonts w:ascii="Cambria" w:hAnsi="Cambria"/>
        </w:rPr>
        <w:t xml:space="preserve">do this week’s readings alter your understanding of the Haitian Revolution? </w:t>
      </w:r>
    </w:p>
    <w:p w:rsidR="00703C9C" w:rsidRPr="00D0132D" w:rsidRDefault="00703C9C" w:rsidP="00703C9C">
      <w:pPr>
        <w:spacing w:before="120"/>
        <w:ind w:left="720"/>
        <w:rPr>
          <w:rFonts w:ascii="Cambria" w:hAnsi="Cambria"/>
        </w:rPr>
      </w:pPr>
      <w:r w:rsidRPr="00D0132D">
        <w:rPr>
          <w:rFonts w:ascii="Cambria" w:hAnsi="Cambria"/>
        </w:rPr>
        <w:t xml:space="preserve">If more than one secondary reading was assigned:  compare the authors’ approaches to the week’s topic.  Are they responding to similar research questions, and if so, how do their conclusions differ? Do they use similar sources? Which reading is more compelling, and why? </w:t>
      </w:r>
    </w:p>
    <w:p w:rsidR="00703C9C" w:rsidRPr="00D0132D" w:rsidRDefault="00703C9C" w:rsidP="00703C9C">
      <w:pPr>
        <w:spacing w:before="120"/>
        <w:ind w:left="720"/>
        <w:rPr>
          <w:rFonts w:ascii="Cambria" w:hAnsi="Cambria"/>
        </w:rPr>
      </w:pPr>
      <w:r w:rsidRPr="00D0132D">
        <w:rPr>
          <w:rFonts w:ascii="Cambria" w:hAnsi="Cambria"/>
        </w:rPr>
        <w:t xml:space="preserve">Identify one primary source referenced in </w:t>
      </w:r>
      <w:r w:rsidR="00365044">
        <w:rPr>
          <w:rFonts w:ascii="Cambria" w:hAnsi="Cambria"/>
        </w:rPr>
        <w:t xml:space="preserve">one of the secondary </w:t>
      </w:r>
      <w:r w:rsidRPr="00D0132D">
        <w:rPr>
          <w:rFonts w:ascii="Cambria" w:hAnsi="Cambria"/>
        </w:rPr>
        <w:t>reading</w:t>
      </w:r>
      <w:r w:rsidR="00365044">
        <w:rPr>
          <w:rFonts w:ascii="Cambria" w:hAnsi="Cambria"/>
        </w:rPr>
        <w:t>s</w:t>
      </w:r>
      <w:r w:rsidRPr="00D0132D">
        <w:rPr>
          <w:rFonts w:ascii="Cambria" w:hAnsi="Cambria"/>
        </w:rPr>
        <w:t xml:space="preserve">.  What is it? Who wrote or created it, when, and </w:t>
      </w:r>
      <w:r w:rsidRPr="00D0132D">
        <w:rPr>
          <w:rFonts w:ascii="Cambria" w:hAnsi="Cambria"/>
          <w:i/>
        </w:rPr>
        <w:t>why</w:t>
      </w:r>
      <w:r w:rsidRPr="00D0132D">
        <w:rPr>
          <w:rFonts w:ascii="Cambria" w:hAnsi="Cambria"/>
        </w:rPr>
        <w:t xml:space="preserve">?  Explain in some detail </w:t>
      </w:r>
      <w:r w:rsidRPr="00D0132D">
        <w:rPr>
          <w:rFonts w:ascii="Cambria" w:hAnsi="Cambria"/>
          <w:i/>
        </w:rPr>
        <w:t>how</w:t>
      </w:r>
      <w:r w:rsidRPr="00D0132D">
        <w:rPr>
          <w:rFonts w:ascii="Cambria" w:hAnsi="Cambria"/>
        </w:rPr>
        <w:t xml:space="preserve"> the author of our secondary reading made use of the source.  What argument did the author construct, using this source as evidence? Explain why you find this argument convincing, or not. </w:t>
      </w:r>
    </w:p>
    <w:p w:rsidR="00703C9C" w:rsidRPr="00D0132D" w:rsidRDefault="00703C9C" w:rsidP="00703C9C">
      <w:pPr>
        <w:spacing w:before="120"/>
        <w:ind w:left="720"/>
        <w:rPr>
          <w:rFonts w:ascii="Cambria" w:hAnsi="Cambria"/>
        </w:rPr>
      </w:pPr>
      <w:r w:rsidRPr="00D0132D">
        <w:rPr>
          <w:rFonts w:ascii="Cambria" w:hAnsi="Cambria"/>
        </w:rPr>
        <w:t xml:space="preserve">If we read a primary document, identify and contextualize it: what is it, who created it, when, and </w:t>
      </w:r>
      <w:r w:rsidRPr="00D0132D">
        <w:rPr>
          <w:rFonts w:ascii="Cambria" w:hAnsi="Cambria"/>
          <w:i/>
        </w:rPr>
        <w:t>why</w:t>
      </w:r>
      <w:r w:rsidRPr="00D0132D">
        <w:rPr>
          <w:rFonts w:ascii="Cambria" w:hAnsi="Cambria"/>
        </w:rPr>
        <w:t xml:space="preserve">? What does it tell us about the </w:t>
      </w:r>
      <w:r w:rsidR="00365044">
        <w:rPr>
          <w:rFonts w:ascii="Cambria" w:hAnsi="Cambria"/>
        </w:rPr>
        <w:t>Haitian Revolution?</w:t>
      </w:r>
    </w:p>
    <w:p w:rsidR="00703C9C" w:rsidRPr="00D0132D" w:rsidRDefault="008041B7" w:rsidP="00703C9C">
      <w:pPr>
        <w:spacing w:before="120"/>
        <w:ind w:left="720"/>
        <w:rPr>
          <w:rFonts w:ascii="Cambria" w:hAnsi="Cambria"/>
        </w:rPr>
      </w:pPr>
      <w:r>
        <w:rPr>
          <w:rFonts w:ascii="Cambria" w:hAnsi="Cambria"/>
        </w:rPr>
        <w:t>Occasionally</w:t>
      </w:r>
      <w:r w:rsidR="00703C9C" w:rsidRPr="00D0132D">
        <w:rPr>
          <w:rFonts w:ascii="Cambria" w:hAnsi="Cambria"/>
        </w:rPr>
        <w:t xml:space="preserve">, </w:t>
      </w:r>
      <w:r w:rsidR="00FC4794">
        <w:rPr>
          <w:rFonts w:ascii="Cambria" w:hAnsi="Cambria"/>
        </w:rPr>
        <w:t xml:space="preserve">Dr. Fabella will circulate </w:t>
      </w:r>
      <w:r w:rsidR="00703C9C">
        <w:rPr>
          <w:rFonts w:ascii="Cambria" w:hAnsi="Cambria"/>
        </w:rPr>
        <w:t xml:space="preserve">questions </w:t>
      </w:r>
      <w:r w:rsidR="00FC4794">
        <w:rPr>
          <w:rFonts w:ascii="Cambria" w:hAnsi="Cambria"/>
        </w:rPr>
        <w:t xml:space="preserve">specific to the week’s readings, and these </w:t>
      </w:r>
      <w:r>
        <w:rPr>
          <w:rFonts w:ascii="Cambria" w:hAnsi="Cambria"/>
        </w:rPr>
        <w:t>questions may</w:t>
      </w:r>
      <w:r w:rsidR="00FC4794">
        <w:rPr>
          <w:rFonts w:ascii="Cambria" w:hAnsi="Cambria"/>
        </w:rPr>
        <w:t xml:space="preserve"> serve as Response Paper prompts</w:t>
      </w:r>
      <w:r w:rsidR="00703C9C" w:rsidRPr="00D0132D">
        <w:rPr>
          <w:rFonts w:ascii="Cambria" w:hAnsi="Cambria"/>
        </w:rPr>
        <w:t xml:space="preserve">.  Check the weekly announcements on Canvas for such opportunities. </w:t>
      </w:r>
      <w:r w:rsidR="00703C9C" w:rsidRPr="00D0132D">
        <w:rPr>
          <w:rFonts w:ascii="Cambria" w:hAnsi="Cambria"/>
        </w:rPr>
        <w:br/>
      </w:r>
    </w:p>
    <w:p w:rsidR="00703C9C" w:rsidRPr="00D0132D" w:rsidRDefault="00703C9C" w:rsidP="00703C9C">
      <w:pPr>
        <w:numPr>
          <w:ilvl w:val="0"/>
          <w:numId w:val="31"/>
        </w:numPr>
        <w:spacing w:before="120"/>
        <w:rPr>
          <w:rFonts w:ascii="Cambria" w:hAnsi="Cambria"/>
        </w:rPr>
      </w:pPr>
      <w:r w:rsidRPr="00D0132D">
        <w:rPr>
          <w:rFonts w:ascii="Cambria" w:hAnsi="Cambria"/>
          <w:b/>
        </w:rPr>
        <w:t>Primary document research</w:t>
      </w:r>
      <w:r w:rsidRPr="00D0132D">
        <w:rPr>
          <w:rFonts w:ascii="Cambria" w:hAnsi="Cambria"/>
        </w:rPr>
        <w:t xml:space="preserve"> </w:t>
      </w:r>
      <w:r w:rsidRPr="00D0132D">
        <w:rPr>
          <w:rFonts w:ascii="Cambria" w:hAnsi="Cambria"/>
          <w:b/>
        </w:rPr>
        <w:t xml:space="preserve">paper (25%) and presentation (10%):  </w:t>
      </w:r>
      <w:r w:rsidRPr="00D0132D">
        <w:rPr>
          <w:rFonts w:ascii="Cambria" w:hAnsi="Cambria"/>
        </w:rPr>
        <w:t xml:space="preserve">Each student will locate one relevant primary source and write an 8-10 page paper that </w:t>
      </w:r>
      <w:r w:rsidR="004760B2">
        <w:rPr>
          <w:rFonts w:ascii="Cambria" w:hAnsi="Cambria"/>
        </w:rPr>
        <w:t>locates</w:t>
      </w:r>
      <w:r w:rsidRPr="00D0132D">
        <w:rPr>
          <w:rFonts w:ascii="Cambria" w:hAnsi="Cambria"/>
        </w:rPr>
        <w:t xml:space="preserve"> the source in its historical context.  The source may be found in the Van Pelt stacks, in the Kislak Center, online, or </w:t>
      </w:r>
      <w:r w:rsidR="00FC4794">
        <w:rPr>
          <w:rFonts w:ascii="Cambria" w:hAnsi="Cambria"/>
        </w:rPr>
        <w:t>in another library or archive</w:t>
      </w:r>
      <w:r w:rsidRPr="00D0132D">
        <w:rPr>
          <w:rFonts w:ascii="Cambria" w:hAnsi="Cambria"/>
        </w:rPr>
        <w:t>.</w:t>
      </w:r>
      <w:r w:rsidR="00FC4794">
        <w:rPr>
          <w:rFonts w:ascii="Cambria" w:hAnsi="Cambria"/>
        </w:rPr>
        <w:t xml:space="preserve"> </w:t>
      </w:r>
      <w:r w:rsidRPr="00D0132D">
        <w:rPr>
          <w:rFonts w:ascii="Cambria" w:hAnsi="Cambria"/>
        </w:rPr>
        <w:t xml:space="preserve"> Students must incorporate </w:t>
      </w:r>
      <w:r w:rsidRPr="00D0132D">
        <w:rPr>
          <w:rFonts w:ascii="Cambria" w:hAnsi="Cambria"/>
        </w:rPr>
        <w:lastRenderedPageBreak/>
        <w:t xml:space="preserve">relevant books and articles from the course syllabus as well as outside secondary readings to support their analysis.  A proposal will be due, through Canvas, on </w:t>
      </w:r>
      <w:r w:rsidR="008041B7">
        <w:rPr>
          <w:rFonts w:ascii="Cambria" w:hAnsi="Cambria"/>
          <w:b/>
        </w:rPr>
        <w:t>Friday, October 19</w:t>
      </w:r>
      <w:r w:rsidRPr="00D0132D">
        <w:rPr>
          <w:rFonts w:ascii="Cambria" w:hAnsi="Cambria"/>
          <w:b/>
        </w:rPr>
        <w:t>.</w:t>
      </w:r>
      <w:r w:rsidRPr="00D0132D">
        <w:rPr>
          <w:rFonts w:ascii="Cambria" w:hAnsi="Cambria"/>
        </w:rPr>
        <w:t xml:space="preserve">  Final research papers are due on </w:t>
      </w:r>
      <w:r w:rsidRPr="00D0132D">
        <w:rPr>
          <w:rFonts w:ascii="Cambria" w:hAnsi="Cambria"/>
          <w:b/>
        </w:rPr>
        <w:t>Wednesday, November 2</w:t>
      </w:r>
      <w:r w:rsidR="008041B7">
        <w:rPr>
          <w:rFonts w:ascii="Cambria" w:hAnsi="Cambria"/>
          <w:b/>
        </w:rPr>
        <w:t>1</w:t>
      </w:r>
      <w:r w:rsidRPr="00D0132D">
        <w:rPr>
          <w:rFonts w:ascii="Cambria" w:hAnsi="Cambria"/>
        </w:rPr>
        <w:t xml:space="preserve">.  All students will also give a formal presentation of their research in class, on a date TBD.  The presentation should be a polished, concise, 10-minute synopsis of the major research findings. More details on the proposal, paper, and presentation will be distributed in a separate assignment sheet.  </w:t>
      </w:r>
    </w:p>
    <w:p w:rsidR="00703C9C" w:rsidRPr="00D0132D" w:rsidRDefault="00703C9C" w:rsidP="00703C9C">
      <w:pPr>
        <w:numPr>
          <w:ilvl w:val="0"/>
          <w:numId w:val="31"/>
        </w:numPr>
        <w:spacing w:before="120"/>
        <w:rPr>
          <w:rFonts w:ascii="Cambria" w:hAnsi="Cambria"/>
        </w:rPr>
      </w:pPr>
      <w:r w:rsidRPr="00D0132D">
        <w:rPr>
          <w:rFonts w:ascii="Cambria" w:hAnsi="Cambria"/>
          <w:b/>
        </w:rPr>
        <w:t>Final paper (25%):</w:t>
      </w:r>
      <w:r w:rsidRPr="00D0132D">
        <w:rPr>
          <w:rFonts w:ascii="Cambria" w:hAnsi="Cambria"/>
        </w:rPr>
        <w:t xml:space="preserve"> A final paper </w:t>
      </w:r>
      <w:r w:rsidR="004760B2">
        <w:rPr>
          <w:rFonts w:ascii="Cambria" w:hAnsi="Cambria"/>
        </w:rPr>
        <w:t>is</w:t>
      </w:r>
      <w:r w:rsidRPr="00D0132D">
        <w:rPr>
          <w:rFonts w:ascii="Cambria" w:hAnsi="Cambria"/>
        </w:rPr>
        <w:t xml:space="preserve"> due on </w:t>
      </w:r>
      <w:r w:rsidR="008041B7">
        <w:rPr>
          <w:rFonts w:ascii="Cambria" w:hAnsi="Cambria"/>
          <w:b/>
        </w:rPr>
        <w:t xml:space="preserve">Monday, December </w:t>
      </w:r>
      <w:r w:rsidRPr="00D0132D">
        <w:rPr>
          <w:rFonts w:ascii="Cambria" w:hAnsi="Cambria"/>
          <w:b/>
        </w:rPr>
        <w:t>1</w:t>
      </w:r>
      <w:r w:rsidR="008041B7">
        <w:rPr>
          <w:rFonts w:ascii="Cambria" w:hAnsi="Cambria"/>
          <w:b/>
        </w:rPr>
        <w:t>7</w:t>
      </w:r>
      <w:r w:rsidRPr="00D0132D">
        <w:rPr>
          <w:rFonts w:ascii="Cambria" w:hAnsi="Cambria"/>
        </w:rPr>
        <w:t xml:space="preserve">.  </w:t>
      </w:r>
      <w:r w:rsidR="008041B7">
        <w:rPr>
          <w:rFonts w:ascii="Cambria" w:hAnsi="Cambria"/>
        </w:rPr>
        <w:t>Students will receive the assignment sheet in class</w:t>
      </w:r>
      <w:r w:rsidRPr="00D0132D">
        <w:rPr>
          <w:rFonts w:ascii="Cambria" w:hAnsi="Cambria"/>
        </w:rPr>
        <w:t xml:space="preserve"> on December 6. </w:t>
      </w:r>
    </w:p>
    <w:p w:rsidR="00346FFD" w:rsidRPr="00060513" w:rsidRDefault="00346FFD" w:rsidP="00414E9F">
      <w:pPr>
        <w:ind w:firstLine="720"/>
        <w:rPr>
          <w:rFonts w:cs="Times New Roman"/>
        </w:rPr>
      </w:pPr>
    </w:p>
    <w:p w:rsidR="00D66DCE" w:rsidRDefault="00D66DCE" w:rsidP="006A5EC8">
      <w:pPr>
        <w:rPr>
          <w:rFonts w:ascii="Cambria" w:eastAsia="Times New Roman" w:hAnsi="Cambria" w:cs="Times New Roman"/>
          <w:b/>
          <w:bCs/>
          <w:u w:val="single"/>
        </w:rPr>
      </w:pPr>
    </w:p>
    <w:p w:rsidR="006A5EC8" w:rsidRPr="006A5EC8" w:rsidRDefault="006A5EC8" w:rsidP="006A5EC8">
      <w:pPr>
        <w:rPr>
          <w:rFonts w:ascii="Cambria" w:eastAsia="Times New Roman" w:hAnsi="Cambria" w:cs="Times New Roman"/>
          <w:b/>
          <w:u w:val="single"/>
        </w:rPr>
      </w:pPr>
      <w:r w:rsidRPr="006A5EC8">
        <w:rPr>
          <w:rFonts w:ascii="Cambria" w:eastAsia="Times New Roman" w:hAnsi="Cambria" w:cs="Times New Roman"/>
          <w:b/>
          <w:bCs/>
          <w:u w:val="single"/>
        </w:rPr>
        <w:t>Academic Integrity and Plagiarism</w:t>
      </w:r>
    </w:p>
    <w:p w:rsidR="006A5EC8" w:rsidRPr="006A5EC8" w:rsidRDefault="006A5EC8" w:rsidP="006A5EC8">
      <w:pPr>
        <w:rPr>
          <w:rFonts w:ascii="Cambria" w:eastAsia="Times New Roman" w:hAnsi="Cambria" w:cs="Times New Roman"/>
          <w:bCs/>
        </w:rPr>
      </w:pPr>
      <w:r w:rsidRPr="006A5EC8">
        <w:rPr>
          <w:rFonts w:ascii="Cambria" w:eastAsia="Times New Roman" w:hAnsi="Cambria" w:cs="Times New Roman"/>
          <w:bCs/>
        </w:rPr>
        <w:t>Academic honesty is fundamental to our community. The Penn Code of Academic Integrity can be fou</w:t>
      </w:r>
      <w:r>
        <w:rPr>
          <w:rFonts w:ascii="Cambria" w:eastAsia="Times New Roman" w:hAnsi="Cambria" w:cs="Times New Roman"/>
          <w:bCs/>
        </w:rPr>
        <w:t xml:space="preserve">nd online: </w:t>
      </w:r>
      <w:hyperlink r:id="rId10" w:history="1">
        <w:r w:rsidRPr="00622DD9">
          <w:rPr>
            <w:rStyle w:val="Hyperlink"/>
            <w:rFonts w:ascii="Cambria" w:eastAsia="Times New Roman" w:hAnsi="Cambria" w:cs="Times New Roman"/>
            <w:bCs/>
          </w:rPr>
          <w:t>www.upenn.edu/academicintegrity/ai_codeofacademicintegrity.html</w:t>
        </w:r>
      </w:hyperlink>
      <w:r>
        <w:rPr>
          <w:rFonts w:ascii="Cambria" w:eastAsia="Times New Roman" w:hAnsi="Cambria" w:cs="Times New Roman"/>
          <w:bCs/>
        </w:rPr>
        <w:t xml:space="preserve">. </w:t>
      </w:r>
      <w:r w:rsidRPr="006A5EC8">
        <w:rPr>
          <w:rFonts w:ascii="Cambria" w:eastAsia="Times New Roman" w:hAnsi="Cambria" w:cs="Times New Roman"/>
          <w:bCs/>
        </w:rPr>
        <w:t xml:space="preserve">  </w:t>
      </w:r>
      <w:r>
        <w:rPr>
          <w:rFonts w:ascii="Cambria" w:eastAsia="Times New Roman" w:hAnsi="Cambria" w:cs="Times New Roman"/>
          <w:bCs/>
        </w:rPr>
        <w:br/>
      </w:r>
      <w:r w:rsidRPr="006A5EC8">
        <w:rPr>
          <w:rFonts w:ascii="Cambria" w:eastAsia="Times New Roman" w:hAnsi="Cambria" w:cs="Times New Roman"/>
          <w:bCs/>
        </w:rPr>
        <w:t>Violations of that Code, including intentional and unintentional acts of plagiarism, will be reported to the Office of Student Conduct and may result in failure for the course.</w:t>
      </w:r>
    </w:p>
    <w:p w:rsidR="006A5EC8" w:rsidRPr="006A5EC8" w:rsidRDefault="006A5EC8" w:rsidP="006A5EC8">
      <w:pPr>
        <w:rPr>
          <w:rFonts w:ascii="Cambria" w:eastAsia="Times New Roman" w:hAnsi="Cambria" w:cs="Times New Roman"/>
          <w:bCs/>
        </w:rPr>
      </w:pPr>
      <w:r w:rsidRPr="006A5EC8">
        <w:rPr>
          <w:rFonts w:ascii="Cambria" w:eastAsia="Times New Roman" w:hAnsi="Cambria" w:cs="Times New Roman"/>
          <w:bCs/>
        </w:rPr>
        <w:t>According to the Penn Code of Academic Integrity, plagiarism includes “[u]sing the ideas, data, or language of another without specific or proper acknowledgment. Example: copying another person’s paper, article, or computer work and submitting it for an assignment, cloning someone else’s ideas without attribution, failing to use quotation marks where appropriate, etc.”  Paraphrased ideas and directly quoted text must be cited properly in all written work.  If you have questions about how to cite sources correctly, consult with Dr. Fabella or the Weingarten Learning Resource Center.</w:t>
      </w:r>
    </w:p>
    <w:p w:rsidR="006A5EC8" w:rsidRDefault="006A5EC8" w:rsidP="00346FFD">
      <w:pPr>
        <w:rPr>
          <w:rFonts w:cs="Times New Roman"/>
          <w:b/>
          <w:u w:val="single"/>
        </w:rPr>
      </w:pPr>
    </w:p>
    <w:p w:rsidR="00D66DCE" w:rsidRDefault="00D66DCE" w:rsidP="00346FFD">
      <w:pPr>
        <w:rPr>
          <w:rFonts w:cs="Times New Roman"/>
          <w:b/>
          <w:u w:val="single"/>
        </w:rPr>
      </w:pPr>
    </w:p>
    <w:p w:rsidR="00346FFD" w:rsidRPr="00060513" w:rsidRDefault="00346FFD" w:rsidP="00346FFD">
      <w:pPr>
        <w:rPr>
          <w:rFonts w:cs="Times New Roman"/>
          <w:b/>
          <w:u w:val="single"/>
        </w:rPr>
      </w:pPr>
      <w:r w:rsidRPr="00060513">
        <w:rPr>
          <w:rFonts w:cs="Times New Roman"/>
          <w:b/>
          <w:u w:val="single"/>
        </w:rPr>
        <w:t>Books for purchase at the Penn Bookstore</w:t>
      </w:r>
    </w:p>
    <w:p w:rsidR="006A5EC8" w:rsidRDefault="006A5EC8" w:rsidP="006A5EC8">
      <w:pPr>
        <w:spacing w:before="120"/>
        <w:rPr>
          <w:rFonts w:cs="Times New Roman"/>
        </w:rPr>
      </w:pPr>
      <w:r>
        <w:rPr>
          <w:rFonts w:cs="Times New Roman"/>
        </w:rPr>
        <w:t>Required reading:</w:t>
      </w:r>
    </w:p>
    <w:p w:rsidR="00346FFD" w:rsidRPr="00060513" w:rsidRDefault="00346FFD" w:rsidP="006A5EC8">
      <w:pPr>
        <w:spacing w:before="120"/>
        <w:ind w:left="720"/>
        <w:rPr>
          <w:rFonts w:cs="Times New Roman"/>
        </w:rPr>
      </w:pPr>
      <w:r w:rsidRPr="00060513">
        <w:rPr>
          <w:rFonts w:cs="Times New Roman"/>
        </w:rPr>
        <w:t xml:space="preserve">Ada Ferrer, </w:t>
      </w:r>
      <w:r w:rsidRPr="00060513">
        <w:rPr>
          <w:rFonts w:cs="Times New Roman"/>
          <w:i/>
        </w:rPr>
        <w:t>Freedom’s Mirror: Cuba and Haiti in the Age of Revolution</w:t>
      </w:r>
      <w:r w:rsidR="006A5EC8">
        <w:rPr>
          <w:rFonts w:cs="Times New Roman"/>
          <w:i/>
        </w:rPr>
        <w:t xml:space="preserve"> </w:t>
      </w:r>
      <w:r w:rsidR="006A5EC8" w:rsidRPr="006A5EC8">
        <w:rPr>
          <w:rFonts w:cs="Times New Roman"/>
        </w:rPr>
        <w:t>(2014)</w:t>
      </w:r>
    </w:p>
    <w:p w:rsidR="00346FFD" w:rsidRPr="00060513" w:rsidRDefault="00346FFD" w:rsidP="006A5EC8">
      <w:pPr>
        <w:spacing w:before="120"/>
        <w:ind w:left="720"/>
        <w:rPr>
          <w:rFonts w:cs="Times New Roman"/>
        </w:rPr>
      </w:pPr>
      <w:r w:rsidRPr="00060513">
        <w:rPr>
          <w:rFonts w:cs="Times New Roman"/>
        </w:rPr>
        <w:t xml:space="preserve">David Geggus, </w:t>
      </w:r>
      <w:r w:rsidRPr="00060513">
        <w:rPr>
          <w:rFonts w:cs="Times New Roman"/>
          <w:i/>
        </w:rPr>
        <w:t>The Haitian Revolution: A Documentary History</w:t>
      </w:r>
      <w:r w:rsidR="006A5EC8">
        <w:rPr>
          <w:rFonts w:cs="Times New Roman"/>
          <w:i/>
        </w:rPr>
        <w:t xml:space="preserve"> </w:t>
      </w:r>
      <w:r w:rsidR="006A5EC8" w:rsidRPr="006A5EC8">
        <w:rPr>
          <w:rFonts w:cs="Times New Roman"/>
        </w:rPr>
        <w:t>(2014)</w:t>
      </w:r>
    </w:p>
    <w:p w:rsidR="00346FFD" w:rsidRPr="00060513" w:rsidRDefault="00346FFD" w:rsidP="006A5EC8">
      <w:pPr>
        <w:spacing w:before="120"/>
        <w:ind w:left="720"/>
        <w:rPr>
          <w:rFonts w:cs="Times New Roman"/>
        </w:rPr>
      </w:pPr>
      <w:r w:rsidRPr="00060513">
        <w:rPr>
          <w:rFonts w:cs="Times New Roman"/>
        </w:rPr>
        <w:t xml:space="preserve">Ashli White, </w:t>
      </w:r>
      <w:r w:rsidRPr="00060513">
        <w:rPr>
          <w:rFonts w:cs="Times New Roman"/>
          <w:i/>
        </w:rPr>
        <w:t xml:space="preserve">Encountering Revolution: Haiti and the Making of the Early Republic </w:t>
      </w:r>
      <w:r w:rsidRPr="00060513">
        <w:rPr>
          <w:rFonts w:cs="Times New Roman"/>
        </w:rPr>
        <w:t>(2010)</w:t>
      </w:r>
    </w:p>
    <w:p w:rsidR="003A1482" w:rsidRPr="00060513" w:rsidRDefault="003A1482" w:rsidP="00346FFD">
      <w:pPr>
        <w:rPr>
          <w:rFonts w:cs="Times New Roman"/>
        </w:rPr>
      </w:pPr>
    </w:p>
    <w:p w:rsidR="003A1482" w:rsidRPr="006A5EC8" w:rsidRDefault="003A1482" w:rsidP="006A5EC8">
      <w:pPr>
        <w:rPr>
          <w:rFonts w:cs="Times New Roman"/>
        </w:rPr>
      </w:pPr>
      <w:r w:rsidRPr="006A5EC8">
        <w:rPr>
          <w:rFonts w:cs="Times New Roman"/>
        </w:rPr>
        <w:t xml:space="preserve">Recommended, and available electronically through the Franklin catalog: </w:t>
      </w:r>
    </w:p>
    <w:p w:rsidR="003A1482" w:rsidRPr="00060513" w:rsidRDefault="003A1482" w:rsidP="006A5EC8">
      <w:pPr>
        <w:ind w:left="720"/>
        <w:rPr>
          <w:rFonts w:cs="Times New Roman"/>
        </w:rPr>
      </w:pPr>
      <w:r w:rsidRPr="00060513">
        <w:rPr>
          <w:rFonts w:cs="Times New Roman"/>
        </w:rPr>
        <w:t xml:space="preserve">Jeremy Popkin, </w:t>
      </w:r>
      <w:r w:rsidRPr="00060513">
        <w:rPr>
          <w:rFonts w:cs="Times New Roman"/>
          <w:i/>
        </w:rPr>
        <w:t>A Concise History of the Haitian Revolution</w:t>
      </w:r>
      <w:r w:rsidRPr="00060513">
        <w:rPr>
          <w:rFonts w:cs="Times New Roman"/>
        </w:rPr>
        <w:t xml:space="preserve"> (2012) </w:t>
      </w:r>
    </w:p>
    <w:p w:rsidR="00346FFD" w:rsidRPr="00060513" w:rsidRDefault="00346FFD" w:rsidP="00414E9F">
      <w:pPr>
        <w:ind w:firstLine="720"/>
        <w:rPr>
          <w:rFonts w:cs="Times New Roman"/>
        </w:rPr>
      </w:pPr>
    </w:p>
    <w:p w:rsidR="00664A2B" w:rsidRPr="00060513" w:rsidRDefault="00664A2B" w:rsidP="00414E9F">
      <w:pPr>
        <w:ind w:firstLine="720"/>
        <w:rPr>
          <w:rFonts w:cs="Times New Roman"/>
        </w:rPr>
      </w:pPr>
    </w:p>
    <w:p w:rsidR="00273709" w:rsidRPr="00D0132D" w:rsidRDefault="00273709" w:rsidP="00273709">
      <w:pPr>
        <w:outlineLvl w:val="0"/>
        <w:rPr>
          <w:rFonts w:ascii="Cambria" w:eastAsia="Cambria" w:hAnsi="Cambria"/>
          <w:b/>
          <w:u w:val="single"/>
        </w:rPr>
      </w:pPr>
      <w:r w:rsidRPr="00D0132D">
        <w:rPr>
          <w:rFonts w:ascii="Cambria" w:eastAsia="Cambria" w:hAnsi="Cambria"/>
          <w:b/>
          <w:u w:val="single"/>
        </w:rPr>
        <w:t>Coursepack</w:t>
      </w:r>
    </w:p>
    <w:p w:rsidR="00273709" w:rsidRPr="00D0132D" w:rsidRDefault="00273709" w:rsidP="00273709">
      <w:pPr>
        <w:rPr>
          <w:rFonts w:ascii="Cambria" w:eastAsia="Cambria" w:hAnsi="Cambria"/>
        </w:rPr>
      </w:pPr>
      <w:r w:rsidRPr="00D0132D">
        <w:rPr>
          <w:rFonts w:ascii="Cambria" w:eastAsia="Cambria" w:hAnsi="Cambria"/>
        </w:rPr>
        <w:t xml:space="preserve">Readings followed by “CP” </w:t>
      </w:r>
      <w:r>
        <w:rPr>
          <w:rFonts w:ascii="Cambria" w:eastAsia="Cambria" w:hAnsi="Cambria"/>
        </w:rPr>
        <w:t>can be found in the HIST 233-401</w:t>
      </w:r>
      <w:r w:rsidRPr="00D0132D">
        <w:rPr>
          <w:rFonts w:ascii="Cambria" w:eastAsia="Cambria" w:hAnsi="Cambria"/>
        </w:rPr>
        <w:t xml:space="preserve"> coursepack, available for purchase at the Campus Copy Center, 3907 </w:t>
      </w:r>
      <w:r>
        <w:rPr>
          <w:rFonts w:ascii="Cambria" w:eastAsia="Cambria" w:hAnsi="Cambria"/>
          <w:color w:val="000000"/>
        </w:rPr>
        <w:t>Walnut St</w:t>
      </w:r>
      <w:r w:rsidRPr="00FA139D">
        <w:rPr>
          <w:rFonts w:ascii="Cambria" w:eastAsia="Cambria" w:hAnsi="Cambria"/>
          <w:color w:val="000000"/>
        </w:rPr>
        <w:t>.</w:t>
      </w:r>
    </w:p>
    <w:p w:rsidR="00D66DCE" w:rsidRDefault="00D66DCE" w:rsidP="00374664">
      <w:pPr>
        <w:rPr>
          <w:rFonts w:cs="Times New Roman"/>
          <w:b/>
          <w:u w:val="single"/>
        </w:rPr>
      </w:pPr>
    </w:p>
    <w:p w:rsidR="00D66DCE" w:rsidRDefault="00D66DCE" w:rsidP="00374664">
      <w:pPr>
        <w:rPr>
          <w:rFonts w:cs="Times New Roman"/>
          <w:b/>
          <w:u w:val="single"/>
        </w:rPr>
      </w:pPr>
    </w:p>
    <w:p w:rsidR="00D66DCE" w:rsidRDefault="00D66DCE" w:rsidP="00374664">
      <w:pPr>
        <w:rPr>
          <w:rFonts w:cs="Times New Roman"/>
          <w:b/>
          <w:u w:val="single"/>
        </w:rPr>
      </w:pPr>
    </w:p>
    <w:p w:rsidR="00273709" w:rsidRDefault="00273709" w:rsidP="00374664">
      <w:pPr>
        <w:rPr>
          <w:rFonts w:cs="Times New Roman"/>
          <w:b/>
          <w:u w:val="single"/>
        </w:rPr>
      </w:pPr>
    </w:p>
    <w:p w:rsidR="000F6629" w:rsidRPr="00060513" w:rsidRDefault="00754CD1" w:rsidP="00374664">
      <w:pPr>
        <w:rPr>
          <w:rFonts w:cs="Times New Roman"/>
          <w:b/>
          <w:u w:val="single"/>
        </w:rPr>
      </w:pPr>
      <w:r>
        <w:rPr>
          <w:rFonts w:cs="Times New Roman"/>
          <w:b/>
          <w:u w:val="single"/>
        </w:rPr>
        <w:t>Class Meeting and Assignment Schedule</w:t>
      </w:r>
    </w:p>
    <w:p w:rsidR="00664A2B" w:rsidRPr="00060513" w:rsidRDefault="00664A2B" w:rsidP="00374664">
      <w:pPr>
        <w:rPr>
          <w:rFonts w:cs="Times New Roman"/>
        </w:rPr>
      </w:pPr>
    </w:p>
    <w:p w:rsidR="00346FFD" w:rsidRPr="00060513" w:rsidRDefault="00346FFD" w:rsidP="00374664">
      <w:pPr>
        <w:rPr>
          <w:rFonts w:cs="Times New Roman"/>
          <w:b/>
        </w:rPr>
      </w:pPr>
      <w:r w:rsidRPr="00060513">
        <w:rPr>
          <w:rFonts w:cs="Times New Roman"/>
          <w:b/>
        </w:rPr>
        <w:t>8/29: Introductions</w:t>
      </w:r>
    </w:p>
    <w:p w:rsidR="00346FFD" w:rsidRPr="00060513" w:rsidRDefault="00346FFD" w:rsidP="00374664">
      <w:pPr>
        <w:rPr>
          <w:rFonts w:cs="Times New Roman"/>
          <w:b/>
        </w:rPr>
      </w:pPr>
    </w:p>
    <w:p w:rsidR="007C4DBD" w:rsidRPr="00060513" w:rsidRDefault="00346FFD" w:rsidP="00374664">
      <w:pPr>
        <w:rPr>
          <w:rFonts w:cs="Times New Roman"/>
          <w:b/>
        </w:rPr>
      </w:pPr>
      <w:r w:rsidRPr="00060513">
        <w:rPr>
          <w:rFonts w:cs="Times New Roman"/>
          <w:b/>
        </w:rPr>
        <w:t xml:space="preserve">9/5: </w:t>
      </w:r>
      <w:r w:rsidR="00664854" w:rsidRPr="00060513">
        <w:rPr>
          <w:rFonts w:cs="Times New Roman"/>
          <w:b/>
        </w:rPr>
        <w:t>Remembering the Haitian Revolution</w:t>
      </w:r>
    </w:p>
    <w:p w:rsidR="009B2323" w:rsidRPr="00060513" w:rsidRDefault="009B2323" w:rsidP="00BC0AFC">
      <w:pPr>
        <w:pStyle w:val="ListParagraph"/>
        <w:numPr>
          <w:ilvl w:val="0"/>
          <w:numId w:val="20"/>
        </w:numPr>
        <w:spacing w:before="60"/>
        <w:contextualSpacing w:val="0"/>
        <w:rPr>
          <w:rFonts w:asciiTheme="minorHAnsi" w:hAnsiTheme="minorHAnsi"/>
        </w:rPr>
      </w:pPr>
      <w:r w:rsidRPr="00060513">
        <w:rPr>
          <w:rFonts w:asciiTheme="minorHAnsi" w:hAnsiTheme="minorHAnsi"/>
        </w:rPr>
        <w:t xml:space="preserve">Michel-Rolphe Trouillot, “An Unthinkable History,” in </w:t>
      </w:r>
      <w:r w:rsidRPr="00060513">
        <w:rPr>
          <w:rFonts w:asciiTheme="minorHAnsi" w:hAnsiTheme="minorHAnsi"/>
          <w:i/>
        </w:rPr>
        <w:t>Silencing the Past: Power and the Production of History</w:t>
      </w:r>
      <w:r w:rsidRPr="00060513">
        <w:rPr>
          <w:rFonts w:asciiTheme="minorHAnsi" w:hAnsiTheme="minorHAnsi"/>
        </w:rPr>
        <w:t>, pg. 70-107</w:t>
      </w:r>
      <w:r w:rsidR="00FD75C3" w:rsidRPr="00060513">
        <w:rPr>
          <w:rFonts w:asciiTheme="minorHAnsi" w:hAnsiTheme="minorHAnsi"/>
        </w:rPr>
        <w:t xml:space="preserve"> (Canvas)</w:t>
      </w:r>
    </w:p>
    <w:p w:rsidR="00664854" w:rsidRPr="00060513" w:rsidRDefault="00664854" w:rsidP="00BC0AFC">
      <w:pPr>
        <w:pStyle w:val="ListParagraph"/>
        <w:numPr>
          <w:ilvl w:val="0"/>
          <w:numId w:val="20"/>
        </w:numPr>
        <w:spacing w:before="60"/>
        <w:contextualSpacing w:val="0"/>
        <w:rPr>
          <w:rStyle w:val="Hyperlink"/>
          <w:rFonts w:asciiTheme="minorHAnsi" w:hAnsiTheme="minorHAnsi"/>
          <w:color w:val="auto"/>
          <w:u w:val="none"/>
          <w:lang w:bidi="en-GB"/>
        </w:rPr>
      </w:pPr>
      <w:r w:rsidRPr="00060513">
        <w:rPr>
          <w:rFonts w:asciiTheme="minorHAnsi" w:hAnsiTheme="minorHAnsi"/>
          <w:lang w:bidi="en-GB"/>
        </w:rPr>
        <w:t xml:space="preserve">Laurent Dubois, “Why Haiti should be at the center of the Age of Revolution,” </w:t>
      </w:r>
      <w:r w:rsidRPr="00060513">
        <w:rPr>
          <w:rFonts w:asciiTheme="minorHAnsi" w:hAnsiTheme="minorHAnsi"/>
          <w:i/>
          <w:lang w:bidi="en-GB"/>
        </w:rPr>
        <w:t>Aeon Essays</w:t>
      </w:r>
      <w:r w:rsidRPr="00060513">
        <w:rPr>
          <w:rFonts w:asciiTheme="minorHAnsi" w:hAnsiTheme="minorHAnsi"/>
          <w:lang w:bidi="en-GB"/>
        </w:rPr>
        <w:t xml:space="preserve">, 7 November 2016: </w:t>
      </w:r>
      <w:hyperlink r:id="rId11">
        <w:r w:rsidRPr="00060513">
          <w:rPr>
            <w:rStyle w:val="Hyperlink"/>
            <w:rFonts w:asciiTheme="minorHAnsi" w:hAnsiTheme="minorHAnsi"/>
            <w:lang w:bidi="en-GB"/>
          </w:rPr>
          <w:t>https://aeon.co/essays/why-haiti-should-be-at-the-centre-of-</w:t>
        </w:r>
      </w:hyperlink>
      <w:r w:rsidRPr="00060513">
        <w:rPr>
          <w:rFonts w:asciiTheme="minorHAnsi" w:hAnsiTheme="minorHAnsi"/>
          <w:lang w:bidi="en-GB"/>
        </w:rPr>
        <w:t xml:space="preserve"> </w:t>
      </w:r>
      <w:hyperlink r:id="rId12">
        <w:r w:rsidRPr="00060513">
          <w:rPr>
            <w:rStyle w:val="Hyperlink"/>
            <w:rFonts w:asciiTheme="minorHAnsi" w:hAnsiTheme="minorHAnsi"/>
            <w:lang w:bidi="en-GB"/>
          </w:rPr>
          <w:t>the-age-of-revolution</w:t>
        </w:r>
      </w:hyperlink>
    </w:p>
    <w:p w:rsidR="00586B44" w:rsidRPr="00060513" w:rsidRDefault="00586B44" w:rsidP="00BC0AFC">
      <w:pPr>
        <w:pStyle w:val="ListParagraph"/>
        <w:numPr>
          <w:ilvl w:val="0"/>
          <w:numId w:val="20"/>
        </w:numPr>
        <w:spacing w:before="60"/>
        <w:contextualSpacing w:val="0"/>
        <w:rPr>
          <w:rFonts w:asciiTheme="minorHAnsi" w:hAnsiTheme="minorHAnsi"/>
          <w:lang w:bidi="en-GB"/>
        </w:rPr>
      </w:pPr>
      <w:r w:rsidRPr="00060513">
        <w:rPr>
          <w:rStyle w:val="Hyperlink"/>
          <w:rFonts w:asciiTheme="minorHAnsi" w:hAnsiTheme="minorHAnsi"/>
          <w:color w:val="auto"/>
          <w:u w:val="none"/>
          <w:lang w:bidi="en-GB"/>
        </w:rPr>
        <w:t xml:space="preserve">Geggus, </w:t>
      </w:r>
      <w:r w:rsidR="006E26A5" w:rsidRPr="00060513">
        <w:rPr>
          <w:rStyle w:val="Hyperlink"/>
          <w:rFonts w:asciiTheme="minorHAnsi" w:hAnsiTheme="minorHAnsi"/>
          <w:color w:val="auto"/>
          <w:u w:val="none"/>
          <w:lang w:bidi="en-GB"/>
        </w:rPr>
        <w:t>“</w:t>
      </w:r>
      <w:r w:rsidR="00422594">
        <w:rPr>
          <w:rStyle w:val="Hyperlink"/>
          <w:rFonts w:asciiTheme="minorHAnsi" w:hAnsiTheme="minorHAnsi"/>
          <w:color w:val="auto"/>
          <w:u w:val="none"/>
          <w:lang w:bidi="en-GB"/>
        </w:rPr>
        <w:t>Introduction;</w:t>
      </w:r>
      <w:r w:rsidR="006755FE">
        <w:rPr>
          <w:rStyle w:val="Hyperlink"/>
          <w:rFonts w:asciiTheme="minorHAnsi" w:hAnsiTheme="minorHAnsi"/>
          <w:color w:val="auto"/>
          <w:u w:val="none"/>
          <w:lang w:bidi="en-GB"/>
        </w:rPr>
        <w:t>” document #99</w:t>
      </w:r>
    </w:p>
    <w:p w:rsidR="00664854" w:rsidRPr="00060513" w:rsidRDefault="00664854" w:rsidP="009B2323"/>
    <w:p w:rsidR="002B268A" w:rsidRPr="00060513" w:rsidRDefault="00346FFD" w:rsidP="002B268A">
      <w:pPr>
        <w:rPr>
          <w:rFonts w:cs="Times New Roman"/>
          <w:b/>
        </w:rPr>
      </w:pPr>
      <w:r w:rsidRPr="00060513">
        <w:rPr>
          <w:rFonts w:cs="Times New Roman"/>
          <w:b/>
        </w:rPr>
        <w:t xml:space="preserve">9/12: </w:t>
      </w:r>
      <w:r w:rsidR="00D66DCE">
        <w:rPr>
          <w:rFonts w:cs="Times New Roman"/>
          <w:b/>
        </w:rPr>
        <w:t>Race, s</w:t>
      </w:r>
      <w:r w:rsidR="002B268A" w:rsidRPr="00060513">
        <w:rPr>
          <w:rFonts w:cs="Times New Roman"/>
          <w:b/>
        </w:rPr>
        <w:t>lavery and the Enlightenment in the French Atlantic world</w:t>
      </w:r>
    </w:p>
    <w:p w:rsidR="002B268A" w:rsidRPr="00060513" w:rsidRDefault="002B268A" w:rsidP="00BC0AFC">
      <w:pPr>
        <w:pStyle w:val="ListParagraph"/>
        <w:numPr>
          <w:ilvl w:val="0"/>
          <w:numId w:val="22"/>
        </w:numPr>
        <w:spacing w:before="60"/>
        <w:contextualSpacing w:val="0"/>
        <w:rPr>
          <w:rFonts w:asciiTheme="minorHAnsi" w:hAnsiTheme="minorHAnsi"/>
        </w:rPr>
      </w:pPr>
      <w:r w:rsidRPr="00060513">
        <w:rPr>
          <w:rFonts w:asciiTheme="minorHAnsi" w:hAnsiTheme="minorHAnsi"/>
        </w:rPr>
        <w:t xml:space="preserve">Guillaume Aubert, “The Blood of France: Race and Purity of Blood in the French Atlantic World,” </w:t>
      </w:r>
      <w:r w:rsidRPr="00060513">
        <w:rPr>
          <w:rFonts w:asciiTheme="minorHAnsi" w:hAnsiTheme="minorHAnsi"/>
          <w:i/>
        </w:rPr>
        <w:t xml:space="preserve">William and Mary Quarterly </w:t>
      </w:r>
      <w:r w:rsidRPr="00060513">
        <w:rPr>
          <w:rFonts w:asciiTheme="minorHAnsi" w:hAnsiTheme="minorHAnsi"/>
        </w:rPr>
        <w:t>61:3 (2004): 439-478</w:t>
      </w:r>
      <w:r w:rsidR="005D390F" w:rsidRPr="00060513">
        <w:rPr>
          <w:rFonts w:asciiTheme="minorHAnsi" w:hAnsiTheme="minorHAnsi"/>
        </w:rPr>
        <w:t>.</w:t>
      </w:r>
      <w:r w:rsidR="00750BE5">
        <w:rPr>
          <w:rFonts w:asciiTheme="minorHAnsi" w:hAnsiTheme="minorHAnsi"/>
        </w:rPr>
        <w:t xml:space="preserve"> (CP)</w:t>
      </w:r>
    </w:p>
    <w:p w:rsidR="002B268A" w:rsidRPr="00060513" w:rsidRDefault="005D390F" w:rsidP="00BC0AFC">
      <w:pPr>
        <w:pStyle w:val="ListParagraph"/>
        <w:numPr>
          <w:ilvl w:val="0"/>
          <w:numId w:val="22"/>
        </w:numPr>
        <w:spacing w:before="60"/>
        <w:contextualSpacing w:val="0"/>
        <w:rPr>
          <w:rFonts w:asciiTheme="minorHAnsi" w:hAnsiTheme="minorHAnsi"/>
        </w:rPr>
      </w:pPr>
      <w:r w:rsidRPr="00060513">
        <w:rPr>
          <w:rFonts w:asciiTheme="minorHAnsi" w:hAnsiTheme="minorHAnsi"/>
        </w:rPr>
        <w:t xml:space="preserve">William Max Nelson, “Making Men: Enlightenment Ideas of Racial Engineering,” </w:t>
      </w:r>
      <w:r w:rsidRPr="00060513">
        <w:rPr>
          <w:rFonts w:asciiTheme="minorHAnsi" w:hAnsiTheme="minorHAnsi"/>
          <w:i/>
        </w:rPr>
        <w:t>American Historical Review</w:t>
      </w:r>
      <w:r w:rsidRPr="00060513">
        <w:rPr>
          <w:rFonts w:asciiTheme="minorHAnsi" w:hAnsiTheme="minorHAnsi"/>
        </w:rPr>
        <w:t xml:space="preserve"> 115: 5 (2010): 1364-1394.</w:t>
      </w:r>
      <w:r w:rsidR="00750BE5">
        <w:rPr>
          <w:rFonts w:asciiTheme="minorHAnsi" w:hAnsiTheme="minorHAnsi"/>
        </w:rPr>
        <w:t xml:space="preserve"> (CP)</w:t>
      </w:r>
    </w:p>
    <w:p w:rsidR="00142681" w:rsidRPr="00060513" w:rsidRDefault="00142681" w:rsidP="00BC0AFC">
      <w:pPr>
        <w:pStyle w:val="ListParagraph"/>
        <w:numPr>
          <w:ilvl w:val="0"/>
          <w:numId w:val="22"/>
        </w:numPr>
        <w:spacing w:before="60"/>
        <w:contextualSpacing w:val="0"/>
        <w:rPr>
          <w:rFonts w:asciiTheme="minorHAnsi" w:hAnsiTheme="minorHAnsi"/>
        </w:rPr>
      </w:pPr>
      <w:r w:rsidRPr="00060513">
        <w:rPr>
          <w:rFonts w:asciiTheme="minorHAnsi" w:hAnsiTheme="minorHAnsi"/>
        </w:rPr>
        <w:t xml:space="preserve">Gene E. Ogle, “Natural Movements and Dangerous Spectacles: Beatings, Duels, and “Play” in Saint Domingue,” in </w:t>
      </w:r>
      <w:r w:rsidRPr="00060513">
        <w:rPr>
          <w:rFonts w:asciiTheme="minorHAnsi" w:hAnsiTheme="minorHAnsi"/>
          <w:i/>
        </w:rPr>
        <w:t>New World Orders: Violence, Sanction, and Authority in the Colonial Americas</w:t>
      </w:r>
      <w:r w:rsidRPr="00060513">
        <w:rPr>
          <w:rFonts w:asciiTheme="minorHAnsi" w:hAnsiTheme="minorHAnsi"/>
        </w:rPr>
        <w:t xml:space="preserve"> (Philadelphia, 2005): 226-248. </w:t>
      </w:r>
      <w:r w:rsidR="00750BE5">
        <w:rPr>
          <w:rFonts w:asciiTheme="minorHAnsi" w:hAnsiTheme="minorHAnsi"/>
        </w:rPr>
        <w:t>(CP)</w:t>
      </w:r>
    </w:p>
    <w:p w:rsidR="002B268A" w:rsidRPr="00060513" w:rsidRDefault="00346FFD" w:rsidP="00BC0AFC">
      <w:pPr>
        <w:pStyle w:val="ListParagraph"/>
        <w:numPr>
          <w:ilvl w:val="0"/>
          <w:numId w:val="20"/>
        </w:numPr>
        <w:spacing w:before="60"/>
        <w:contextualSpacing w:val="0"/>
        <w:rPr>
          <w:rFonts w:asciiTheme="minorHAnsi" w:hAnsiTheme="minorHAnsi"/>
          <w:lang w:val="fr-FR" w:bidi="en-GB"/>
        </w:rPr>
      </w:pPr>
      <w:r w:rsidRPr="00060513">
        <w:rPr>
          <w:rFonts w:asciiTheme="minorHAnsi" w:hAnsiTheme="minorHAnsi"/>
          <w:lang w:val="fr-FR"/>
        </w:rPr>
        <w:t>G</w:t>
      </w:r>
      <w:r w:rsidR="00FE11E4" w:rsidRPr="00060513">
        <w:rPr>
          <w:rFonts w:asciiTheme="minorHAnsi" w:hAnsiTheme="minorHAnsi"/>
          <w:lang w:val="fr-FR"/>
        </w:rPr>
        <w:t xml:space="preserve">eggus : </w:t>
      </w:r>
      <w:r w:rsidR="00BC0AFC" w:rsidRPr="00060513">
        <w:rPr>
          <w:rFonts w:asciiTheme="minorHAnsi" w:hAnsiTheme="minorHAnsi"/>
          <w:lang w:val="fr-FR"/>
        </w:rPr>
        <w:t xml:space="preserve">documents </w:t>
      </w:r>
      <w:r w:rsidR="00441F1A" w:rsidRPr="00060513">
        <w:rPr>
          <w:rFonts w:asciiTheme="minorHAnsi" w:hAnsiTheme="minorHAnsi"/>
          <w:lang w:val="fr-FR"/>
        </w:rPr>
        <w:t>#</w:t>
      </w:r>
      <w:r w:rsidRPr="00060513">
        <w:rPr>
          <w:rFonts w:asciiTheme="minorHAnsi" w:hAnsiTheme="minorHAnsi"/>
          <w:lang w:val="fr-FR"/>
        </w:rPr>
        <w:t>17</w:t>
      </w:r>
      <w:r w:rsidR="00441F1A" w:rsidRPr="00060513">
        <w:rPr>
          <w:rFonts w:asciiTheme="minorHAnsi" w:hAnsiTheme="minorHAnsi"/>
          <w:lang w:val="fr-FR"/>
        </w:rPr>
        <w:t>, 18</w:t>
      </w:r>
    </w:p>
    <w:p w:rsidR="002B268A" w:rsidRPr="00060513" w:rsidRDefault="002B268A" w:rsidP="009B2323">
      <w:pPr>
        <w:rPr>
          <w:b/>
          <w:lang w:val="fr-FR"/>
        </w:rPr>
      </w:pPr>
    </w:p>
    <w:p w:rsidR="002E3314" w:rsidRPr="00060513" w:rsidRDefault="00346FFD" w:rsidP="009B2323">
      <w:pPr>
        <w:rPr>
          <w:b/>
        </w:rPr>
      </w:pPr>
      <w:r w:rsidRPr="00060513">
        <w:rPr>
          <w:b/>
        </w:rPr>
        <w:t xml:space="preserve">9/19: </w:t>
      </w:r>
      <w:r w:rsidR="00142681" w:rsidRPr="00060513">
        <w:rPr>
          <w:b/>
        </w:rPr>
        <w:t>Slavery in Saint Domingue</w:t>
      </w:r>
    </w:p>
    <w:p w:rsidR="00142681" w:rsidRPr="00060513" w:rsidRDefault="00142681" w:rsidP="00BC0AFC">
      <w:pPr>
        <w:pStyle w:val="ListParagraph"/>
        <w:numPr>
          <w:ilvl w:val="0"/>
          <w:numId w:val="21"/>
        </w:numPr>
        <w:spacing w:before="60"/>
        <w:contextualSpacing w:val="0"/>
        <w:rPr>
          <w:rFonts w:asciiTheme="minorHAnsi" w:hAnsiTheme="minorHAnsi"/>
          <w:lang w:bidi="en-GB"/>
        </w:rPr>
      </w:pPr>
      <w:r w:rsidRPr="00060513">
        <w:rPr>
          <w:rFonts w:asciiTheme="minorHAnsi" w:hAnsiTheme="minorHAnsi"/>
          <w:lang w:bidi="en-GB"/>
        </w:rPr>
        <w:t xml:space="preserve">Paul Cheney, </w:t>
      </w:r>
      <w:r w:rsidR="00441F1A" w:rsidRPr="00060513">
        <w:rPr>
          <w:rFonts w:asciiTheme="minorHAnsi" w:hAnsiTheme="minorHAnsi"/>
          <w:lang w:bidi="en-GB"/>
        </w:rPr>
        <w:t xml:space="preserve">“Humanity and Interest,” in </w:t>
      </w:r>
      <w:r w:rsidR="00441F1A" w:rsidRPr="00060513">
        <w:rPr>
          <w:rFonts w:asciiTheme="minorHAnsi" w:hAnsiTheme="minorHAnsi"/>
          <w:i/>
          <w:lang w:bidi="en-GB"/>
        </w:rPr>
        <w:t>Cul de Sac: Patrimony, Capitalism, and Slavery in French Saint-Domingue</w:t>
      </w:r>
      <w:r w:rsidR="00441F1A" w:rsidRPr="00060513">
        <w:rPr>
          <w:rFonts w:asciiTheme="minorHAnsi" w:hAnsiTheme="minorHAnsi"/>
          <w:lang w:bidi="en-GB"/>
        </w:rPr>
        <w:t xml:space="preserve"> (Chicago, 2017): 71-104. (CP)</w:t>
      </w:r>
    </w:p>
    <w:p w:rsidR="00142681" w:rsidRPr="00060513" w:rsidRDefault="00142681" w:rsidP="00BC0AFC">
      <w:pPr>
        <w:pStyle w:val="ListParagraph"/>
        <w:numPr>
          <w:ilvl w:val="0"/>
          <w:numId w:val="21"/>
        </w:numPr>
        <w:spacing w:before="60"/>
        <w:contextualSpacing w:val="0"/>
        <w:rPr>
          <w:rFonts w:asciiTheme="minorHAnsi" w:hAnsiTheme="minorHAnsi"/>
          <w:lang w:bidi="en-GB"/>
        </w:rPr>
      </w:pPr>
      <w:r w:rsidRPr="00060513">
        <w:rPr>
          <w:rFonts w:asciiTheme="minorHAnsi" w:hAnsiTheme="minorHAnsi"/>
          <w:lang w:bidi="en-GB"/>
        </w:rPr>
        <w:t xml:space="preserve">Jennifer Palmer, “Proximity and Distance in Plantation Society,” in </w:t>
      </w:r>
      <w:r w:rsidRPr="00060513">
        <w:rPr>
          <w:rFonts w:asciiTheme="minorHAnsi" w:hAnsiTheme="minorHAnsi"/>
          <w:i/>
          <w:iCs/>
          <w:lang w:bidi="en-GB"/>
        </w:rPr>
        <w:t>Intimate Bonds: Family and Slavery in the French Atlantic</w:t>
      </w:r>
      <w:r w:rsidRPr="00060513">
        <w:rPr>
          <w:rFonts w:asciiTheme="minorHAnsi" w:hAnsiTheme="minorHAnsi"/>
          <w:lang w:bidi="en-GB"/>
        </w:rPr>
        <w:t xml:space="preserve">, </w:t>
      </w:r>
      <w:r w:rsidR="00441F1A" w:rsidRPr="00060513">
        <w:rPr>
          <w:rFonts w:asciiTheme="minorHAnsi" w:hAnsiTheme="minorHAnsi"/>
          <w:lang w:bidi="en-GB"/>
        </w:rPr>
        <w:t xml:space="preserve">(Philadelphia, 2016): </w:t>
      </w:r>
      <w:r w:rsidRPr="00060513">
        <w:rPr>
          <w:rFonts w:asciiTheme="minorHAnsi" w:hAnsiTheme="minorHAnsi"/>
          <w:lang w:bidi="en-GB"/>
        </w:rPr>
        <w:t>19-44</w:t>
      </w:r>
      <w:r w:rsidR="00441F1A" w:rsidRPr="00060513">
        <w:rPr>
          <w:rFonts w:asciiTheme="minorHAnsi" w:hAnsiTheme="minorHAnsi"/>
          <w:lang w:bidi="en-GB"/>
        </w:rPr>
        <w:t>. (CP)</w:t>
      </w:r>
    </w:p>
    <w:p w:rsidR="00142681" w:rsidRPr="00060513" w:rsidRDefault="00142681" w:rsidP="00BC0AFC">
      <w:pPr>
        <w:pStyle w:val="ListParagraph"/>
        <w:numPr>
          <w:ilvl w:val="0"/>
          <w:numId w:val="21"/>
        </w:numPr>
        <w:spacing w:before="60"/>
        <w:contextualSpacing w:val="0"/>
        <w:rPr>
          <w:rFonts w:asciiTheme="minorHAnsi" w:hAnsiTheme="minorHAnsi"/>
          <w:lang w:bidi="en-GB"/>
        </w:rPr>
      </w:pPr>
      <w:r w:rsidRPr="00060513">
        <w:rPr>
          <w:rFonts w:asciiTheme="minorHAnsi" w:hAnsiTheme="minorHAnsi"/>
          <w:lang w:bidi="en-GB"/>
        </w:rPr>
        <w:t xml:space="preserve">Geggus: </w:t>
      </w:r>
      <w:r w:rsidR="00BC0AFC" w:rsidRPr="00060513">
        <w:rPr>
          <w:rFonts w:asciiTheme="minorHAnsi" w:hAnsiTheme="minorHAnsi"/>
          <w:lang w:bidi="en-GB"/>
        </w:rPr>
        <w:t xml:space="preserve">documents </w:t>
      </w:r>
      <w:r w:rsidR="00441F1A" w:rsidRPr="00060513">
        <w:rPr>
          <w:rFonts w:asciiTheme="minorHAnsi" w:hAnsiTheme="minorHAnsi"/>
          <w:lang w:bidi="en-GB"/>
        </w:rPr>
        <w:t>#</w:t>
      </w:r>
      <w:r w:rsidRPr="00060513">
        <w:rPr>
          <w:rFonts w:asciiTheme="minorHAnsi" w:hAnsiTheme="minorHAnsi"/>
          <w:lang w:bidi="en-GB"/>
        </w:rPr>
        <w:t>2, 3, 4, 5, 8, 9</w:t>
      </w:r>
      <w:r w:rsidR="00284F5B">
        <w:rPr>
          <w:rFonts w:asciiTheme="minorHAnsi" w:hAnsiTheme="minorHAnsi"/>
          <w:lang w:bidi="en-GB"/>
        </w:rPr>
        <w:t>, 14</w:t>
      </w:r>
      <w:r w:rsidR="00DF28EA">
        <w:rPr>
          <w:rFonts w:asciiTheme="minorHAnsi" w:hAnsiTheme="minorHAnsi"/>
          <w:lang w:bidi="en-GB"/>
        </w:rPr>
        <w:t>, 15, 16</w:t>
      </w:r>
    </w:p>
    <w:p w:rsidR="007408C0" w:rsidRPr="00060513" w:rsidRDefault="007408C0" w:rsidP="007408C0">
      <w:pPr>
        <w:rPr>
          <w:i/>
          <w:lang w:bidi="en-GB"/>
        </w:rPr>
      </w:pPr>
    </w:p>
    <w:p w:rsidR="00441F1A" w:rsidRPr="00060513" w:rsidRDefault="00346FFD" w:rsidP="00441F1A">
      <w:pPr>
        <w:rPr>
          <w:b/>
        </w:rPr>
      </w:pPr>
      <w:r w:rsidRPr="00060513">
        <w:rPr>
          <w:b/>
          <w:bCs/>
          <w:iCs/>
          <w:lang w:bidi="en-GB"/>
        </w:rPr>
        <w:t xml:space="preserve">9/26: </w:t>
      </w:r>
      <w:r w:rsidR="00441F1A" w:rsidRPr="00060513">
        <w:rPr>
          <w:b/>
        </w:rPr>
        <w:t xml:space="preserve">Defining citizenship in the revolutionary French Atlantic world </w:t>
      </w:r>
    </w:p>
    <w:p w:rsidR="00441F1A" w:rsidRPr="00060513" w:rsidRDefault="00441F1A" w:rsidP="00BC0AFC">
      <w:pPr>
        <w:pStyle w:val="ListParagraph"/>
        <w:numPr>
          <w:ilvl w:val="0"/>
          <w:numId w:val="20"/>
        </w:numPr>
        <w:spacing w:before="60"/>
        <w:contextualSpacing w:val="0"/>
        <w:rPr>
          <w:rFonts w:asciiTheme="minorHAnsi" w:hAnsiTheme="minorHAnsi"/>
        </w:rPr>
      </w:pPr>
      <w:r w:rsidRPr="00060513">
        <w:rPr>
          <w:rFonts w:asciiTheme="minorHAnsi" w:hAnsiTheme="minorHAnsi"/>
        </w:rPr>
        <w:t xml:space="preserve">Shanti Singham, “Betwixt Cattle and Men: Jews, Blacks and Women, and the Declaration of the Rights of Man,” in Dale Van Kley, </w:t>
      </w:r>
      <w:r w:rsidRPr="00060513">
        <w:rPr>
          <w:rFonts w:asciiTheme="minorHAnsi" w:hAnsiTheme="minorHAnsi"/>
          <w:i/>
        </w:rPr>
        <w:t>The French Idea of Freedom: the Old Regime and the Declaration of Rights of 1789</w:t>
      </w:r>
      <w:r w:rsidRPr="00060513">
        <w:rPr>
          <w:rFonts w:asciiTheme="minorHAnsi" w:hAnsiTheme="minorHAnsi"/>
        </w:rPr>
        <w:t xml:space="preserve"> (Stanford, 1994), 114-153.</w:t>
      </w:r>
      <w:r w:rsidR="00750BE5">
        <w:rPr>
          <w:rFonts w:asciiTheme="minorHAnsi" w:hAnsiTheme="minorHAnsi"/>
        </w:rPr>
        <w:t xml:space="preserve"> (CP)</w:t>
      </w:r>
    </w:p>
    <w:p w:rsidR="00441F1A" w:rsidRPr="00060513" w:rsidRDefault="00441F1A" w:rsidP="00BC0AFC">
      <w:pPr>
        <w:pStyle w:val="ListParagraph"/>
        <w:numPr>
          <w:ilvl w:val="0"/>
          <w:numId w:val="20"/>
        </w:numPr>
        <w:spacing w:before="60"/>
        <w:contextualSpacing w:val="0"/>
        <w:rPr>
          <w:rFonts w:asciiTheme="minorHAnsi" w:hAnsiTheme="minorHAnsi"/>
        </w:rPr>
      </w:pPr>
      <w:r w:rsidRPr="00060513">
        <w:rPr>
          <w:rFonts w:asciiTheme="minorHAnsi" w:hAnsiTheme="minorHAnsi"/>
        </w:rPr>
        <w:t xml:space="preserve">John Garrigus, “Vincent Ogé </w:t>
      </w:r>
      <w:r w:rsidRPr="00060513">
        <w:rPr>
          <w:rFonts w:asciiTheme="minorHAnsi" w:hAnsiTheme="minorHAnsi"/>
          <w:i/>
          <w:iCs/>
        </w:rPr>
        <w:t>Jeune</w:t>
      </w:r>
      <w:r w:rsidRPr="00060513">
        <w:rPr>
          <w:rFonts w:asciiTheme="minorHAnsi" w:hAnsiTheme="minorHAnsi"/>
        </w:rPr>
        <w:t xml:space="preserve"> (1757-91): Social Class and Free Colored Mobilization on the Eve of the Haitian Revolution,” </w:t>
      </w:r>
      <w:r w:rsidRPr="00060513">
        <w:rPr>
          <w:rFonts w:asciiTheme="minorHAnsi" w:hAnsiTheme="minorHAnsi"/>
          <w:i/>
          <w:iCs/>
        </w:rPr>
        <w:t>The Americas</w:t>
      </w:r>
      <w:r w:rsidRPr="00060513">
        <w:rPr>
          <w:rFonts w:asciiTheme="minorHAnsi" w:hAnsiTheme="minorHAnsi"/>
        </w:rPr>
        <w:t xml:space="preserve"> 68.1 (July 2011): 33-62. </w:t>
      </w:r>
      <w:r w:rsidR="008041B7">
        <w:rPr>
          <w:rFonts w:asciiTheme="minorHAnsi" w:hAnsiTheme="minorHAnsi"/>
        </w:rPr>
        <w:t>(CP)</w:t>
      </w:r>
    </w:p>
    <w:p w:rsidR="00441F1A" w:rsidRPr="00060513" w:rsidRDefault="00441F1A" w:rsidP="00BC0AFC">
      <w:pPr>
        <w:pStyle w:val="ListParagraph"/>
        <w:numPr>
          <w:ilvl w:val="0"/>
          <w:numId w:val="20"/>
        </w:numPr>
        <w:spacing w:before="60"/>
        <w:contextualSpacing w:val="0"/>
        <w:rPr>
          <w:rFonts w:asciiTheme="minorHAnsi" w:hAnsiTheme="minorHAnsi"/>
        </w:rPr>
      </w:pPr>
      <w:r w:rsidRPr="00060513">
        <w:rPr>
          <w:rFonts w:asciiTheme="minorHAnsi" w:hAnsiTheme="minorHAnsi"/>
        </w:rPr>
        <w:t>Geggus: pg. 36-38, documents #20, 21, 22, 23; pg. 57-58, documents #</w:t>
      </w:r>
      <w:r w:rsidR="00BC0AFC" w:rsidRPr="00060513">
        <w:rPr>
          <w:rFonts w:asciiTheme="minorHAnsi" w:hAnsiTheme="minorHAnsi"/>
        </w:rPr>
        <w:t>26, 27, 28, 29</w:t>
      </w:r>
    </w:p>
    <w:p w:rsidR="007408C0" w:rsidRPr="00060513" w:rsidRDefault="007408C0" w:rsidP="007408C0">
      <w:pPr>
        <w:rPr>
          <w:b/>
          <w:bCs/>
          <w:iCs/>
          <w:lang w:bidi="en-GB"/>
        </w:rPr>
      </w:pPr>
    </w:p>
    <w:p w:rsidR="009B2323" w:rsidRDefault="009B2323" w:rsidP="009B2323"/>
    <w:p w:rsidR="00273709" w:rsidRDefault="00273709" w:rsidP="009B2323"/>
    <w:p w:rsidR="00273709" w:rsidRPr="00060513" w:rsidRDefault="00273709" w:rsidP="009B2323"/>
    <w:p w:rsidR="00365044" w:rsidRPr="00060513" w:rsidRDefault="00346FFD" w:rsidP="00365044">
      <w:pPr>
        <w:rPr>
          <w:b/>
          <w:bCs/>
        </w:rPr>
      </w:pPr>
      <w:r w:rsidRPr="00060513">
        <w:rPr>
          <w:b/>
        </w:rPr>
        <w:lastRenderedPageBreak/>
        <w:t xml:space="preserve">10/3: </w:t>
      </w:r>
      <w:r w:rsidR="00365044" w:rsidRPr="00060513">
        <w:rPr>
          <w:b/>
          <w:bCs/>
        </w:rPr>
        <w:t xml:space="preserve">Religion, resistance, and the slave revolt of 1791 </w:t>
      </w:r>
    </w:p>
    <w:p w:rsidR="00365044" w:rsidRPr="00060513" w:rsidRDefault="00365044" w:rsidP="00365044">
      <w:pPr>
        <w:pStyle w:val="ListParagraph"/>
        <w:numPr>
          <w:ilvl w:val="0"/>
          <w:numId w:val="28"/>
        </w:numPr>
        <w:rPr>
          <w:rFonts w:asciiTheme="minorHAnsi" w:hAnsiTheme="minorHAnsi"/>
        </w:rPr>
      </w:pPr>
      <w:r w:rsidRPr="00060513">
        <w:rPr>
          <w:rFonts w:asciiTheme="minorHAnsi" w:hAnsiTheme="minorHAnsi"/>
        </w:rPr>
        <w:t xml:space="preserve">Carolyn Fick, </w:t>
      </w:r>
      <w:r w:rsidRPr="00060513">
        <w:rPr>
          <w:rFonts w:asciiTheme="minorHAnsi" w:hAnsiTheme="minorHAnsi"/>
          <w:i/>
        </w:rPr>
        <w:t>The Making of Haiti: the Saint Domingue Revolution from Below</w:t>
      </w:r>
      <w:r w:rsidRPr="00060513">
        <w:rPr>
          <w:rFonts w:asciiTheme="minorHAnsi" w:hAnsiTheme="minorHAnsi"/>
        </w:rPr>
        <w:t>, pg. 25-117.</w:t>
      </w:r>
    </w:p>
    <w:p w:rsidR="00365044" w:rsidRPr="00060513" w:rsidRDefault="00365044" w:rsidP="00365044">
      <w:pPr>
        <w:pStyle w:val="ListParagraph"/>
        <w:numPr>
          <w:ilvl w:val="0"/>
          <w:numId w:val="28"/>
        </w:numPr>
        <w:rPr>
          <w:rFonts w:asciiTheme="minorHAnsi" w:hAnsiTheme="minorHAnsi"/>
        </w:rPr>
      </w:pPr>
      <w:r w:rsidRPr="00060513">
        <w:rPr>
          <w:rFonts w:asciiTheme="minorHAnsi" w:hAnsiTheme="minorHAnsi"/>
        </w:rPr>
        <w:t xml:space="preserve">Kate Ramsey, “Crimes of Ritual Assembly and Assemblage in Colonial and Revolutionary Saint-Domingue,” in </w:t>
      </w:r>
      <w:r w:rsidRPr="00060513">
        <w:rPr>
          <w:rFonts w:asciiTheme="minorHAnsi" w:hAnsiTheme="minorHAnsi"/>
          <w:i/>
        </w:rPr>
        <w:t>The Spirits and the Law: Vodou and Power in Haiti</w:t>
      </w:r>
      <w:r w:rsidRPr="00060513">
        <w:rPr>
          <w:rFonts w:asciiTheme="minorHAnsi" w:hAnsiTheme="minorHAnsi"/>
        </w:rPr>
        <w:t xml:space="preserve"> (2011): 24-53. </w:t>
      </w:r>
    </w:p>
    <w:p w:rsidR="00365044" w:rsidRPr="00060513" w:rsidRDefault="00365044" w:rsidP="00365044">
      <w:pPr>
        <w:pStyle w:val="ListParagraph"/>
        <w:numPr>
          <w:ilvl w:val="0"/>
          <w:numId w:val="28"/>
        </w:numPr>
        <w:rPr>
          <w:rFonts w:asciiTheme="minorHAnsi" w:hAnsiTheme="minorHAnsi"/>
        </w:rPr>
      </w:pPr>
      <w:r w:rsidRPr="00060513">
        <w:rPr>
          <w:rFonts w:asciiTheme="minorHAnsi" w:hAnsiTheme="minorHAnsi"/>
        </w:rPr>
        <w:t xml:space="preserve">Geggus: </w:t>
      </w:r>
      <w:r>
        <w:rPr>
          <w:rFonts w:asciiTheme="minorHAnsi" w:hAnsiTheme="minorHAnsi"/>
        </w:rPr>
        <w:t>pg.</w:t>
      </w:r>
      <w:r w:rsidR="00E904A0">
        <w:rPr>
          <w:rFonts w:asciiTheme="minorHAnsi" w:hAnsiTheme="minorHAnsi"/>
        </w:rPr>
        <w:t xml:space="preserve"> 72-74</w:t>
      </w:r>
      <w:r>
        <w:rPr>
          <w:rFonts w:asciiTheme="minorHAnsi" w:hAnsiTheme="minorHAnsi"/>
        </w:rPr>
        <w:t>; documents #10, 11, 12, 33, 34, 35, 37, 41</w:t>
      </w:r>
      <w:r w:rsidR="00E904A0">
        <w:rPr>
          <w:rFonts w:asciiTheme="minorHAnsi" w:hAnsiTheme="minorHAnsi"/>
        </w:rPr>
        <w:t>, 43</w:t>
      </w:r>
    </w:p>
    <w:p w:rsidR="005437A1" w:rsidRPr="00060513" w:rsidRDefault="005437A1" w:rsidP="00441F1A"/>
    <w:p w:rsidR="00273709" w:rsidRDefault="00273709" w:rsidP="00754CD1">
      <w:pPr>
        <w:rPr>
          <w:b/>
          <w:i/>
        </w:rPr>
      </w:pPr>
      <w:r>
        <w:rPr>
          <w:b/>
          <w:i/>
        </w:rPr>
        <w:t>10/4-7</w:t>
      </w:r>
      <w:r>
        <w:rPr>
          <w:b/>
          <w:i/>
        </w:rPr>
        <w:t xml:space="preserve"> - University Fall Break </w:t>
      </w:r>
    </w:p>
    <w:p w:rsidR="00273709" w:rsidRDefault="00273709" w:rsidP="00754CD1">
      <w:pPr>
        <w:rPr>
          <w:b/>
          <w:i/>
        </w:rPr>
      </w:pPr>
    </w:p>
    <w:p w:rsidR="00754CD1" w:rsidRPr="00754CD1" w:rsidRDefault="00754CD1" w:rsidP="00754CD1">
      <w:pPr>
        <w:rPr>
          <w:rFonts w:ascii="Cambria" w:hAnsi="Cambria"/>
          <w:b/>
          <w:i/>
        </w:rPr>
      </w:pPr>
      <w:r w:rsidRPr="00754CD1">
        <w:rPr>
          <w:b/>
          <w:i/>
        </w:rPr>
        <w:t>10/8</w:t>
      </w:r>
      <w:r w:rsidR="00273709">
        <w:rPr>
          <w:b/>
          <w:i/>
        </w:rPr>
        <w:t xml:space="preserve"> (Monday)</w:t>
      </w:r>
      <w:r w:rsidRPr="00754CD1">
        <w:rPr>
          <w:b/>
          <w:i/>
        </w:rPr>
        <w:t xml:space="preserve">: </w:t>
      </w:r>
      <w:r w:rsidRPr="00754CD1">
        <w:rPr>
          <w:rFonts w:ascii="Cambria" w:hAnsi="Cambria"/>
          <w:b/>
          <w:i/>
          <w:caps/>
        </w:rPr>
        <w:t>Preliminary research questions due</w:t>
      </w:r>
      <w:r w:rsidRPr="00754CD1">
        <w:rPr>
          <w:rFonts w:ascii="Cambria" w:hAnsi="Cambria"/>
          <w:b/>
          <w:i/>
        </w:rPr>
        <w:t xml:space="preserve"> – submit on Canvas</w:t>
      </w:r>
    </w:p>
    <w:p w:rsidR="00754CD1" w:rsidRPr="00060513" w:rsidRDefault="00754CD1" w:rsidP="009B2323">
      <w:pPr>
        <w:rPr>
          <w:b/>
        </w:rPr>
      </w:pPr>
    </w:p>
    <w:p w:rsidR="00457119" w:rsidRPr="00060513" w:rsidRDefault="00365044" w:rsidP="00457119">
      <w:pPr>
        <w:rPr>
          <w:rFonts w:cs="Times New Roman"/>
          <w:b/>
        </w:rPr>
      </w:pPr>
      <w:r>
        <w:rPr>
          <w:rFonts w:cs="Times New Roman"/>
          <w:b/>
        </w:rPr>
        <w:t>10/10</w:t>
      </w:r>
      <w:r w:rsidR="00346FFD" w:rsidRPr="00060513">
        <w:rPr>
          <w:rFonts w:cs="Times New Roman"/>
          <w:b/>
        </w:rPr>
        <w:t xml:space="preserve">: </w:t>
      </w:r>
      <w:r w:rsidR="00457119" w:rsidRPr="00060513">
        <w:rPr>
          <w:rFonts w:cs="Times New Roman"/>
          <w:b/>
        </w:rPr>
        <w:t>Royalism, republicanism and colonialism: ideology and revolution</w:t>
      </w:r>
    </w:p>
    <w:p w:rsidR="00457119" w:rsidRPr="00060513" w:rsidRDefault="00457119" w:rsidP="008041B7">
      <w:pPr>
        <w:pStyle w:val="ListParagraph"/>
        <w:numPr>
          <w:ilvl w:val="0"/>
          <w:numId w:val="24"/>
        </w:numPr>
        <w:spacing w:before="60"/>
        <w:contextualSpacing w:val="0"/>
        <w:rPr>
          <w:rFonts w:asciiTheme="minorHAnsi" w:hAnsiTheme="minorHAnsi"/>
        </w:rPr>
      </w:pPr>
      <w:r w:rsidRPr="00060513">
        <w:rPr>
          <w:rFonts w:asciiTheme="minorHAnsi" w:hAnsiTheme="minorHAnsi"/>
        </w:rPr>
        <w:t xml:space="preserve">Laurent Dubois, “Our Three Colors: The King, the Republic and the Political Culture of Slave Revolution in Saint-Domingue,” </w:t>
      </w:r>
      <w:r w:rsidRPr="00060513">
        <w:rPr>
          <w:rFonts w:asciiTheme="minorHAnsi" w:hAnsiTheme="minorHAnsi"/>
          <w:i/>
        </w:rPr>
        <w:t>Historical Reflections</w:t>
      </w:r>
      <w:r w:rsidRPr="00060513">
        <w:rPr>
          <w:rFonts w:asciiTheme="minorHAnsi" w:hAnsiTheme="minorHAnsi"/>
        </w:rPr>
        <w:t xml:space="preserve"> 29 (2003): 83-102.</w:t>
      </w:r>
    </w:p>
    <w:p w:rsidR="00457119" w:rsidRPr="00AD38A1" w:rsidRDefault="00457119" w:rsidP="00AD38A1">
      <w:pPr>
        <w:pStyle w:val="ListParagraph"/>
        <w:numPr>
          <w:ilvl w:val="0"/>
          <w:numId w:val="15"/>
        </w:numPr>
        <w:spacing w:before="60"/>
        <w:rPr>
          <w:rFonts w:asciiTheme="minorHAnsi" w:hAnsiTheme="minorHAnsi"/>
        </w:rPr>
      </w:pPr>
      <w:r w:rsidRPr="00060513">
        <w:rPr>
          <w:rFonts w:asciiTheme="minorHAnsi" w:hAnsiTheme="minorHAnsi"/>
        </w:rPr>
        <w:t>John Thornton, “I am the Subject of the King of Congo: African Political Ideology and the Haitian Revolution</w:t>
      </w:r>
      <w:r w:rsidR="00AD38A1">
        <w:rPr>
          <w:rFonts w:asciiTheme="minorHAnsi" w:hAnsiTheme="minorHAnsi"/>
        </w:rPr>
        <w:t>,</w:t>
      </w:r>
      <w:r w:rsidRPr="00060513">
        <w:rPr>
          <w:rFonts w:asciiTheme="minorHAnsi" w:hAnsiTheme="minorHAnsi"/>
        </w:rPr>
        <w:t>”</w:t>
      </w:r>
      <w:r w:rsidR="00AD38A1" w:rsidRPr="00AD38A1">
        <w:t xml:space="preserve"> </w:t>
      </w:r>
      <w:r w:rsidR="00AD38A1" w:rsidRPr="00AD38A1">
        <w:rPr>
          <w:rFonts w:asciiTheme="minorHAnsi" w:hAnsiTheme="minorHAnsi"/>
          <w:i/>
        </w:rPr>
        <w:t>Journal of World History</w:t>
      </w:r>
      <w:r w:rsidR="00AD38A1">
        <w:rPr>
          <w:rFonts w:asciiTheme="minorHAnsi" w:hAnsiTheme="minorHAnsi"/>
        </w:rPr>
        <w:t xml:space="preserve"> </w:t>
      </w:r>
      <w:r w:rsidR="00AD38A1" w:rsidRPr="00AD38A1">
        <w:rPr>
          <w:rFonts w:asciiTheme="minorHAnsi" w:hAnsiTheme="minorHAnsi"/>
        </w:rPr>
        <w:t>4</w:t>
      </w:r>
      <w:r w:rsidR="00AD38A1">
        <w:rPr>
          <w:rFonts w:asciiTheme="minorHAnsi" w:hAnsiTheme="minorHAnsi"/>
        </w:rPr>
        <w:t>:</w:t>
      </w:r>
      <w:r w:rsidR="00AD38A1" w:rsidRPr="00AD38A1">
        <w:rPr>
          <w:rFonts w:asciiTheme="minorHAnsi" w:hAnsiTheme="minorHAnsi"/>
        </w:rPr>
        <w:t xml:space="preserve"> 2 (1993</w:t>
      </w:r>
      <w:r w:rsidR="00AD38A1">
        <w:rPr>
          <w:rFonts w:asciiTheme="minorHAnsi" w:hAnsiTheme="minorHAnsi"/>
        </w:rPr>
        <w:t>):</w:t>
      </w:r>
      <w:r w:rsidR="00AD38A1" w:rsidRPr="00AD38A1">
        <w:rPr>
          <w:rFonts w:asciiTheme="minorHAnsi" w:hAnsiTheme="minorHAnsi"/>
        </w:rPr>
        <w:t xml:space="preserve"> 181-214 </w:t>
      </w:r>
      <w:r w:rsidRPr="00AD38A1">
        <w:rPr>
          <w:rFonts w:asciiTheme="minorHAnsi" w:hAnsiTheme="minorHAnsi"/>
        </w:rPr>
        <w:t xml:space="preserve"> (CP)</w:t>
      </w:r>
    </w:p>
    <w:p w:rsidR="00457119" w:rsidRDefault="00457119" w:rsidP="008041B7">
      <w:pPr>
        <w:pStyle w:val="ListParagraph"/>
        <w:numPr>
          <w:ilvl w:val="0"/>
          <w:numId w:val="15"/>
        </w:numPr>
        <w:spacing w:before="60"/>
        <w:contextualSpacing w:val="0"/>
        <w:rPr>
          <w:rFonts w:asciiTheme="minorHAnsi" w:hAnsiTheme="minorHAnsi"/>
        </w:rPr>
      </w:pPr>
      <w:r w:rsidRPr="00060513">
        <w:rPr>
          <w:rFonts w:asciiTheme="minorHAnsi" w:hAnsiTheme="minorHAnsi"/>
        </w:rPr>
        <w:t xml:space="preserve">Carolyn Fick, “The Haitian revolution and the Limits of Freedom: Defining Citizenship in the Revolutionary Era,” </w:t>
      </w:r>
      <w:r w:rsidRPr="00060513">
        <w:rPr>
          <w:rFonts w:asciiTheme="minorHAnsi" w:hAnsiTheme="minorHAnsi"/>
          <w:i/>
          <w:iCs/>
        </w:rPr>
        <w:t>Social History</w:t>
      </w:r>
      <w:r w:rsidRPr="00060513">
        <w:rPr>
          <w:rFonts w:asciiTheme="minorHAnsi" w:hAnsiTheme="minorHAnsi"/>
        </w:rPr>
        <w:t xml:space="preserve"> 32:4 (2007): 394-414</w:t>
      </w:r>
      <w:r w:rsidR="008041B7">
        <w:rPr>
          <w:rFonts w:asciiTheme="minorHAnsi" w:hAnsiTheme="minorHAnsi"/>
        </w:rPr>
        <w:t xml:space="preserve"> (CP)</w:t>
      </w:r>
    </w:p>
    <w:p w:rsidR="00E904A0" w:rsidRDefault="00E904A0" w:rsidP="008041B7">
      <w:pPr>
        <w:pStyle w:val="ListParagraph"/>
        <w:numPr>
          <w:ilvl w:val="0"/>
          <w:numId w:val="15"/>
        </w:numPr>
        <w:spacing w:before="60"/>
        <w:contextualSpacing w:val="0"/>
        <w:rPr>
          <w:rFonts w:asciiTheme="minorHAnsi" w:hAnsiTheme="minorHAnsi"/>
        </w:rPr>
      </w:pPr>
      <w:r>
        <w:rPr>
          <w:rFonts w:asciiTheme="minorHAnsi" w:hAnsiTheme="minorHAnsi"/>
        </w:rPr>
        <w:t>Geggus: documents #39, 40</w:t>
      </w:r>
    </w:p>
    <w:p w:rsidR="00412396" w:rsidRPr="00412396" w:rsidRDefault="00412396" w:rsidP="00412396">
      <w:pPr>
        <w:spacing w:before="60"/>
        <w:ind w:left="360"/>
        <w:rPr>
          <w:b/>
          <w:i/>
        </w:rPr>
      </w:pPr>
      <w:r w:rsidRPr="00412396">
        <w:rPr>
          <w:b/>
          <w:i/>
        </w:rPr>
        <w:t>Visit to the Kislak Center</w:t>
      </w:r>
      <w:r>
        <w:rPr>
          <w:b/>
          <w:i/>
        </w:rPr>
        <w:t xml:space="preserve"> for Special Collections, Rare Books and Manuscripts</w:t>
      </w:r>
      <w:r w:rsidRPr="00412396">
        <w:rPr>
          <w:b/>
          <w:i/>
        </w:rPr>
        <w:t xml:space="preserve"> – 3:15</w:t>
      </w:r>
    </w:p>
    <w:p w:rsidR="00457119" w:rsidRDefault="00457119" w:rsidP="00374664">
      <w:pPr>
        <w:rPr>
          <w:rFonts w:cs="Times New Roman"/>
          <w:b/>
        </w:rPr>
      </w:pPr>
    </w:p>
    <w:p w:rsidR="004D5373" w:rsidRPr="00457119" w:rsidRDefault="00365044" w:rsidP="00374664">
      <w:r>
        <w:rPr>
          <w:rFonts w:cs="Times New Roman"/>
          <w:b/>
        </w:rPr>
        <w:t>10/17</w:t>
      </w:r>
      <w:r w:rsidR="00457119" w:rsidRPr="00060513">
        <w:rPr>
          <w:rFonts w:cs="Times New Roman"/>
          <w:b/>
        </w:rPr>
        <w:t xml:space="preserve">: </w:t>
      </w:r>
      <w:r w:rsidR="00D66DCE">
        <w:rPr>
          <w:rFonts w:cs="Times New Roman"/>
          <w:b/>
        </w:rPr>
        <w:t>Gender, r</w:t>
      </w:r>
      <w:r w:rsidR="006B0C69" w:rsidRPr="00060513">
        <w:rPr>
          <w:rFonts w:cs="Times New Roman"/>
          <w:b/>
        </w:rPr>
        <w:t xml:space="preserve">ace and </w:t>
      </w:r>
      <w:r w:rsidR="00D66DCE">
        <w:rPr>
          <w:rFonts w:cs="Times New Roman"/>
          <w:b/>
        </w:rPr>
        <w:t>e</w:t>
      </w:r>
      <w:r w:rsidR="003C7B06" w:rsidRPr="00060513">
        <w:rPr>
          <w:rFonts w:cs="Times New Roman"/>
          <w:b/>
        </w:rPr>
        <w:t>mancipation</w:t>
      </w:r>
      <w:r w:rsidR="00E8662D" w:rsidRPr="00060513">
        <w:rPr>
          <w:rFonts w:cs="Times New Roman"/>
          <w:b/>
        </w:rPr>
        <w:t xml:space="preserve"> </w:t>
      </w:r>
    </w:p>
    <w:p w:rsidR="00457119" w:rsidRDefault="00E24E05" w:rsidP="008041B7">
      <w:pPr>
        <w:pStyle w:val="ListParagraph"/>
        <w:numPr>
          <w:ilvl w:val="0"/>
          <w:numId w:val="15"/>
        </w:numPr>
        <w:spacing w:beforeLines="60" w:before="144"/>
        <w:contextualSpacing w:val="0"/>
        <w:rPr>
          <w:rFonts w:asciiTheme="minorHAnsi" w:hAnsiTheme="minorHAnsi"/>
        </w:rPr>
      </w:pPr>
      <w:r w:rsidRPr="00060513">
        <w:rPr>
          <w:rFonts w:asciiTheme="minorHAnsi" w:hAnsiTheme="minorHAnsi"/>
        </w:rPr>
        <w:t xml:space="preserve">Jeremy Popkin, “Sailors and Revolution: Naval Mutineers in Saint Domingue, 1790-93,” </w:t>
      </w:r>
      <w:r w:rsidRPr="00060513">
        <w:rPr>
          <w:rFonts w:asciiTheme="minorHAnsi" w:hAnsiTheme="minorHAnsi"/>
          <w:i/>
        </w:rPr>
        <w:t>French History</w:t>
      </w:r>
      <w:r w:rsidRPr="00060513">
        <w:rPr>
          <w:rFonts w:asciiTheme="minorHAnsi" w:hAnsiTheme="minorHAnsi"/>
        </w:rPr>
        <w:t xml:space="preserve">  vol. 24 no. 4 (2012): 460-481. (CP)</w:t>
      </w:r>
      <w:r w:rsidR="00457119" w:rsidRPr="00457119">
        <w:rPr>
          <w:rFonts w:asciiTheme="minorHAnsi" w:hAnsiTheme="minorHAnsi"/>
        </w:rPr>
        <w:t xml:space="preserve"> </w:t>
      </w:r>
    </w:p>
    <w:p w:rsidR="00457119" w:rsidRPr="00060513" w:rsidRDefault="00457119" w:rsidP="008041B7">
      <w:pPr>
        <w:pStyle w:val="ListParagraph"/>
        <w:numPr>
          <w:ilvl w:val="0"/>
          <w:numId w:val="15"/>
        </w:numPr>
        <w:spacing w:beforeLines="60" w:before="144"/>
        <w:contextualSpacing w:val="0"/>
        <w:rPr>
          <w:rFonts w:asciiTheme="minorHAnsi" w:hAnsiTheme="minorHAnsi"/>
        </w:rPr>
      </w:pPr>
      <w:r w:rsidRPr="00060513">
        <w:rPr>
          <w:rFonts w:asciiTheme="minorHAnsi" w:hAnsiTheme="minorHAnsi"/>
        </w:rPr>
        <w:t xml:space="preserve">Elizabeth Colwill, “Freedwomen’s Familial Politics: Marriage, War and Rites of Registry in Post-Emancipation Saint-Domingue,” in </w:t>
      </w:r>
      <w:r w:rsidRPr="00060513">
        <w:rPr>
          <w:rFonts w:asciiTheme="minorHAnsi" w:hAnsiTheme="minorHAnsi"/>
          <w:i/>
        </w:rPr>
        <w:t>Gender, War and Politics: Transatlantic Perspectives, 1775-1830</w:t>
      </w:r>
      <w:r w:rsidRPr="00060513">
        <w:rPr>
          <w:rFonts w:asciiTheme="minorHAnsi" w:hAnsiTheme="minorHAnsi"/>
        </w:rPr>
        <w:t xml:space="preserve">, ed. Karen Hagemann. </w:t>
      </w:r>
      <w:r w:rsidR="00750BE5">
        <w:rPr>
          <w:rFonts w:asciiTheme="minorHAnsi" w:hAnsiTheme="minorHAnsi"/>
        </w:rPr>
        <w:t>(CP)</w:t>
      </w:r>
    </w:p>
    <w:p w:rsidR="00E24E05" w:rsidRPr="00457119" w:rsidRDefault="00457119" w:rsidP="008041B7">
      <w:pPr>
        <w:pStyle w:val="ListParagraph"/>
        <w:numPr>
          <w:ilvl w:val="0"/>
          <w:numId w:val="15"/>
        </w:numPr>
        <w:spacing w:beforeLines="60" w:before="144"/>
        <w:contextualSpacing w:val="0"/>
        <w:rPr>
          <w:rFonts w:asciiTheme="minorHAnsi" w:hAnsiTheme="minorHAnsi"/>
        </w:rPr>
      </w:pPr>
      <w:r w:rsidRPr="00060513">
        <w:rPr>
          <w:rFonts w:asciiTheme="minorHAnsi" w:hAnsiTheme="minorHAnsi"/>
        </w:rPr>
        <w:t xml:space="preserve">Laurent Dubois, “Gendered Freedom: </w:t>
      </w:r>
      <w:r w:rsidRPr="00060513">
        <w:rPr>
          <w:rFonts w:asciiTheme="minorHAnsi" w:hAnsiTheme="minorHAnsi"/>
          <w:i/>
        </w:rPr>
        <w:t>Citoyennes</w:t>
      </w:r>
      <w:r w:rsidRPr="00060513">
        <w:rPr>
          <w:rFonts w:asciiTheme="minorHAnsi" w:hAnsiTheme="minorHAnsi"/>
        </w:rPr>
        <w:t xml:space="preserve"> and War in the Revolutionary French Caribbean,” in </w:t>
      </w:r>
      <w:r w:rsidRPr="00060513">
        <w:rPr>
          <w:rFonts w:asciiTheme="minorHAnsi" w:hAnsiTheme="minorHAnsi"/>
          <w:i/>
        </w:rPr>
        <w:t>Gender, War and Politics: Transatlantic Perspectives, 1775-1830</w:t>
      </w:r>
      <w:r w:rsidRPr="00060513">
        <w:rPr>
          <w:rFonts w:asciiTheme="minorHAnsi" w:hAnsiTheme="minorHAnsi"/>
        </w:rPr>
        <w:t>, ed. Karen Hagemann</w:t>
      </w:r>
      <w:r w:rsidR="00750BE5">
        <w:rPr>
          <w:rFonts w:asciiTheme="minorHAnsi" w:hAnsiTheme="minorHAnsi"/>
        </w:rPr>
        <w:t xml:space="preserve"> (CP)</w:t>
      </w:r>
    </w:p>
    <w:p w:rsidR="0089636C" w:rsidRDefault="0089636C" w:rsidP="008041B7">
      <w:pPr>
        <w:pStyle w:val="ListParagraph"/>
        <w:numPr>
          <w:ilvl w:val="0"/>
          <w:numId w:val="15"/>
        </w:numPr>
        <w:spacing w:beforeLines="60" w:before="144"/>
        <w:contextualSpacing w:val="0"/>
        <w:rPr>
          <w:rFonts w:asciiTheme="minorHAnsi" w:hAnsiTheme="minorHAnsi"/>
        </w:rPr>
      </w:pPr>
      <w:r w:rsidRPr="00060513">
        <w:rPr>
          <w:rFonts w:asciiTheme="minorHAnsi" w:hAnsiTheme="minorHAnsi"/>
        </w:rPr>
        <w:t>Geggus</w:t>
      </w:r>
      <w:r w:rsidR="00DF28EA">
        <w:rPr>
          <w:rFonts w:asciiTheme="minorHAnsi" w:hAnsiTheme="minorHAnsi"/>
        </w:rPr>
        <w:t xml:space="preserve">: pg. 98-100; </w:t>
      </w:r>
      <w:r w:rsidR="00E904A0">
        <w:rPr>
          <w:rFonts w:asciiTheme="minorHAnsi" w:hAnsiTheme="minorHAnsi"/>
        </w:rPr>
        <w:t>documents #</w:t>
      </w:r>
      <w:r w:rsidR="00DF28EA">
        <w:rPr>
          <w:rFonts w:asciiTheme="minorHAnsi" w:hAnsiTheme="minorHAnsi"/>
        </w:rPr>
        <w:t>48, 51</w:t>
      </w:r>
      <w:r w:rsidR="00C20989">
        <w:rPr>
          <w:rFonts w:asciiTheme="minorHAnsi" w:hAnsiTheme="minorHAnsi"/>
        </w:rPr>
        <w:t>, 52</w:t>
      </w:r>
    </w:p>
    <w:p w:rsidR="008041B7" w:rsidRDefault="008041B7" w:rsidP="008041B7">
      <w:pPr>
        <w:spacing w:before="60"/>
      </w:pPr>
    </w:p>
    <w:p w:rsidR="008041B7" w:rsidRPr="008041B7" w:rsidRDefault="008041B7" w:rsidP="008041B7">
      <w:pPr>
        <w:spacing w:before="60"/>
        <w:rPr>
          <w:b/>
          <w:i/>
        </w:rPr>
      </w:pPr>
      <w:r w:rsidRPr="008041B7">
        <w:rPr>
          <w:b/>
          <w:i/>
        </w:rPr>
        <w:t>10/19</w:t>
      </w:r>
      <w:r w:rsidR="00273709">
        <w:rPr>
          <w:b/>
          <w:i/>
        </w:rPr>
        <w:t xml:space="preserve"> (Friday)</w:t>
      </w:r>
      <w:r w:rsidRPr="008041B7">
        <w:rPr>
          <w:b/>
          <w:i/>
        </w:rPr>
        <w:t xml:space="preserve">: </w:t>
      </w:r>
      <w:r w:rsidRPr="00754CD1">
        <w:rPr>
          <w:b/>
          <w:i/>
          <w:caps/>
        </w:rPr>
        <w:t>Primary Document Research Proposal Due</w:t>
      </w:r>
      <w:r w:rsidRPr="008041B7">
        <w:rPr>
          <w:b/>
          <w:i/>
        </w:rPr>
        <w:t xml:space="preserve"> on Canvas</w:t>
      </w:r>
    </w:p>
    <w:p w:rsidR="00BD5AFA" w:rsidRPr="00060513" w:rsidRDefault="00BD5AFA" w:rsidP="00BD5AFA">
      <w:pPr>
        <w:spacing w:before="60"/>
      </w:pPr>
    </w:p>
    <w:p w:rsidR="00354B3C" w:rsidRPr="00060513" w:rsidRDefault="00365044" w:rsidP="00414E9F">
      <w:pPr>
        <w:rPr>
          <w:rFonts w:cs="Times New Roman"/>
          <w:b/>
        </w:rPr>
      </w:pPr>
      <w:r>
        <w:rPr>
          <w:rFonts w:cs="Times New Roman"/>
          <w:b/>
        </w:rPr>
        <w:t>10/24</w:t>
      </w:r>
      <w:r w:rsidR="00346FFD" w:rsidRPr="00060513">
        <w:rPr>
          <w:rFonts w:cs="Times New Roman"/>
          <w:b/>
        </w:rPr>
        <w:t xml:space="preserve">: </w:t>
      </w:r>
      <w:r w:rsidR="00D66DCE">
        <w:rPr>
          <w:rFonts w:cs="Times New Roman"/>
          <w:b/>
        </w:rPr>
        <w:t>Revolutionary d</w:t>
      </w:r>
      <w:r w:rsidR="006E26A5" w:rsidRPr="00060513">
        <w:rPr>
          <w:rFonts w:cs="Times New Roman"/>
          <w:b/>
        </w:rPr>
        <w:t>ictatorship? Toussaint L’Ouverture</w:t>
      </w:r>
    </w:p>
    <w:p w:rsidR="006901E1" w:rsidRPr="00BB6888" w:rsidRDefault="006E26A5" w:rsidP="008041B7">
      <w:pPr>
        <w:pStyle w:val="ListParagraph"/>
        <w:numPr>
          <w:ilvl w:val="0"/>
          <w:numId w:val="29"/>
        </w:numPr>
        <w:spacing w:before="60"/>
        <w:contextualSpacing w:val="0"/>
        <w:rPr>
          <w:rFonts w:eastAsia="Times New Roman"/>
          <w:lang w:val="en-GB" w:eastAsia="en-GB" w:bidi="en-GB"/>
        </w:rPr>
      </w:pPr>
      <w:r w:rsidRPr="00BB6888">
        <w:rPr>
          <w:rFonts w:eastAsia="Times New Roman"/>
          <w:lang w:val="en-GB" w:eastAsia="en-GB" w:bidi="en-GB"/>
        </w:rPr>
        <w:t xml:space="preserve">Laurent Dubois, </w:t>
      </w:r>
      <w:r w:rsidRPr="00BB6888">
        <w:rPr>
          <w:rFonts w:eastAsia="Times New Roman"/>
          <w:i/>
          <w:lang w:val="en-GB" w:eastAsia="en-GB" w:bidi="en-GB"/>
        </w:rPr>
        <w:t>Avengers of the New World: the Story of the Haitian Revolution</w:t>
      </w:r>
      <w:r w:rsidRPr="00BB6888">
        <w:rPr>
          <w:rFonts w:eastAsia="Times New Roman"/>
          <w:lang w:val="en-GB" w:eastAsia="en-GB" w:bidi="en-GB"/>
        </w:rPr>
        <w:t xml:space="preserve">, pg. 171-250 </w:t>
      </w:r>
      <w:r w:rsidR="00750BE5">
        <w:rPr>
          <w:rFonts w:eastAsia="Times New Roman"/>
          <w:lang w:val="en-GB" w:eastAsia="en-GB" w:bidi="en-GB"/>
        </w:rPr>
        <w:t>(</w:t>
      </w:r>
      <w:r w:rsidR="00750BE5" w:rsidRPr="00750BE5">
        <w:rPr>
          <w:rFonts w:eastAsia="Times New Roman"/>
          <w:lang w:val="en-GB" w:eastAsia="en-GB" w:bidi="en-GB"/>
        </w:rPr>
        <w:t>available electronically through the Franklin catalog</w:t>
      </w:r>
      <w:r w:rsidR="00750BE5">
        <w:rPr>
          <w:rFonts w:eastAsia="Times New Roman"/>
          <w:lang w:val="en-GB" w:eastAsia="en-GB" w:bidi="en-GB"/>
        </w:rPr>
        <w:t>)</w:t>
      </w:r>
    </w:p>
    <w:p w:rsidR="00CA4847" w:rsidRPr="008041B7" w:rsidRDefault="0089636C" w:rsidP="008041B7">
      <w:pPr>
        <w:pStyle w:val="BodyText"/>
        <w:numPr>
          <w:ilvl w:val="0"/>
          <w:numId w:val="29"/>
        </w:numPr>
        <w:spacing w:before="60" w:after="0"/>
        <w:rPr>
          <w:rFonts w:eastAsia="Times New Roman"/>
          <w:lang w:val="en-GB" w:eastAsia="en-GB" w:bidi="en-GB"/>
        </w:rPr>
      </w:pPr>
      <w:r w:rsidRPr="008041B7">
        <w:rPr>
          <w:rFonts w:cs="Times New Roman"/>
        </w:rPr>
        <w:t>Geggus</w:t>
      </w:r>
      <w:r w:rsidR="00CA4847" w:rsidRPr="008041B7">
        <w:rPr>
          <w:rFonts w:cs="Times New Roman"/>
        </w:rPr>
        <w:t xml:space="preserve">: </w:t>
      </w:r>
      <w:r w:rsidR="00E904A0">
        <w:rPr>
          <w:rFonts w:cs="Times New Roman"/>
        </w:rPr>
        <w:t xml:space="preserve">pg. 117-119; documents </w:t>
      </w:r>
      <w:r w:rsidR="006E26A5" w:rsidRPr="008041B7">
        <w:rPr>
          <w:rFonts w:cs="Times New Roman"/>
        </w:rPr>
        <w:t>#54-73</w:t>
      </w:r>
    </w:p>
    <w:p w:rsidR="00CA4847" w:rsidRDefault="00CA4847" w:rsidP="00414E9F">
      <w:pPr>
        <w:rPr>
          <w:rFonts w:cs="Times New Roman"/>
        </w:rPr>
      </w:pPr>
    </w:p>
    <w:p w:rsidR="00365044" w:rsidRPr="00365044" w:rsidRDefault="00365044" w:rsidP="00414E9F">
      <w:pPr>
        <w:rPr>
          <w:rFonts w:cs="Times New Roman"/>
          <w:b/>
        </w:rPr>
      </w:pPr>
      <w:r w:rsidRPr="00365044">
        <w:rPr>
          <w:rFonts w:cs="Times New Roman"/>
          <w:b/>
        </w:rPr>
        <w:t>10/31: Individual Meetings in COLL 208C  - no class</w:t>
      </w:r>
    </w:p>
    <w:p w:rsidR="00365044" w:rsidRDefault="00365044" w:rsidP="00414E9F">
      <w:pPr>
        <w:rPr>
          <w:rFonts w:cs="Times New Roman"/>
        </w:rPr>
      </w:pPr>
      <w:r>
        <w:rPr>
          <w:rFonts w:cs="Times New Roman"/>
        </w:rPr>
        <w:lastRenderedPageBreak/>
        <w:t>Use this week to get moving on your research project!</w:t>
      </w:r>
    </w:p>
    <w:p w:rsidR="00365044" w:rsidRPr="00060513" w:rsidRDefault="00365044" w:rsidP="00414E9F">
      <w:pPr>
        <w:rPr>
          <w:rFonts w:cs="Times New Roman"/>
        </w:rPr>
      </w:pPr>
    </w:p>
    <w:p w:rsidR="00BB6888" w:rsidRPr="00807DD0" w:rsidRDefault="00346FFD" w:rsidP="00BB6888">
      <w:pPr>
        <w:rPr>
          <w:rFonts w:cs="Times New Roman"/>
          <w:b/>
        </w:rPr>
      </w:pPr>
      <w:r w:rsidRPr="00060513">
        <w:rPr>
          <w:rFonts w:cs="Times New Roman"/>
          <w:b/>
        </w:rPr>
        <w:t xml:space="preserve">11/7: </w:t>
      </w:r>
      <w:r w:rsidR="00BB6888" w:rsidRPr="00807DD0">
        <w:rPr>
          <w:rFonts w:cs="Times New Roman"/>
          <w:b/>
        </w:rPr>
        <w:t xml:space="preserve">Revolutionary Saint Domingue in U.S. culture, politics and society </w:t>
      </w:r>
    </w:p>
    <w:p w:rsidR="00BB6888" w:rsidRPr="00B6452A" w:rsidRDefault="00BB6888" w:rsidP="00B6452A">
      <w:pPr>
        <w:pStyle w:val="ListParagraph"/>
        <w:numPr>
          <w:ilvl w:val="0"/>
          <w:numId w:val="33"/>
        </w:numPr>
        <w:spacing w:before="60"/>
        <w:contextualSpacing w:val="0"/>
        <w:rPr>
          <w:i/>
        </w:rPr>
      </w:pPr>
      <w:r w:rsidRPr="00B6452A">
        <w:t xml:space="preserve">Ashli White, </w:t>
      </w:r>
      <w:r w:rsidRPr="00B6452A">
        <w:rPr>
          <w:i/>
        </w:rPr>
        <w:t>Encountering Revolution: Haiti and the Mak</w:t>
      </w:r>
      <w:r w:rsidR="00AD38A1" w:rsidRPr="00B6452A">
        <w:rPr>
          <w:i/>
        </w:rPr>
        <w:t xml:space="preserve">ing of the Early Republic </w:t>
      </w:r>
    </w:p>
    <w:p w:rsidR="00E904A0" w:rsidRPr="00B6452A" w:rsidRDefault="00E904A0" w:rsidP="00B6452A">
      <w:pPr>
        <w:pStyle w:val="ListParagraph"/>
        <w:numPr>
          <w:ilvl w:val="0"/>
          <w:numId w:val="33"/>
        </w:numPr>
        <w:spacing w:before="60"/>
        <w:contextualSpacing w:val="0"/>
      </w:pPr>
      <w:r w:rsidRPr="00B6452A">
        <w:t>Geggus: documents #</w:t>
      </w:r>
      <w:r w:rsidR="006755FE">
        <w:t>93</w:t>
      </w:r>
    </w:p>
    <w:p w:rsidR="006D7EE6" w:rsidRPr="00060513" w:rsidRDefault="006D7EE6" w:rsidP="00BD5AFA">
      <w:pPr>
        <w:rPr>
          <w:rFonts w:cs="Times New Roman"/>
          <w:b/>
        </w:rPr>
      </w:pPr>
    </w:p>
    <w:p w:rsidR="00BB6888" w:rsidRPr="00BB6888" w:rsidRDefault="00346FFD" w:rsidP="00BB6888">
      <w:pPr>
        <w:rPr>
          <w:rFonts w:cs="Times New Roman"/>
          <w:i/>
        </w:rPr>
      </w:pPr>
      <w:r w:rsidRPr="00060513">
        <w:rPr>
          <w:rFonts w:cs="Times New Roman"/>
          <w:b/>
        </w:rPr>
        <w:t xml:space="preserve">11/14: </w:t>
      </w:r>
      <w:r w:rsidR="00D66DCE">
        <w:rPr>
          <w:rFonts w:cs="Times New Roman"/>
          <w:b/>
        </w:rPr>
        <w:t>Defining the new n</w:t>
      </w:r>
      <w:r w:rsidR="000001BF">
        <w:rPr>
          <w:rFonts w:cs="Times New Roman"/>
          <w:b/>
        </w:rPr>
        <w:t>ation</w:t>
      </w:r>
    </w:p>
    <w:p w:rsidR="00060513" w:rsidRPr="00284F5B" w:rsidRDefault="003547BB" w:rsidP="008041B7">
      <w:pPr>
        <w:pStyle w:val="ListParagraph"/>
        <w:numPr>
          <w:ilvl w:val="0"/>
          <w:numId w:val="30"/>
        </w:numPr>
        <w:spacing w:before="60"/>
        <w:contextualSpacing w:val="0"/>
      </w:pPr>
      <w:r w:rsidRPr="00284F5B">
        <w:t>Laurent Dubois</w:t>
      </w:r>
      <w:r w:rsidRPr="00284F5B">
        <w:rPr>
          <w:i/>
        </w:rPr>
        <w:t xml:space="preserve">, Avengers of the New World: the Story of the Haitian Revolution, </w:t>
      </w:r>
      <w:r w:rsidRPr="00284F5B">
        <w:t>pg. 280-306</w:t>
      </w:r>
      <w:r w:rsidR="00750BE5">
        <w:t xml:space="preserve"> (available electronically through the Franklin catalog)</w:t>
      </w:r>
    </w:p>
    <w:p w:rsidR="00284F5B" w:rsidRPr="00284F5B" w:rsidRDefault="00284F5B" w:rsidP="008041B7">
      <w:pPr>
        <w:pStyle w:val="ListParagraph"/>
        <w:numPr>
          <w:ilvl w:val="0"/>
          <w:numId w:val="30"/>
        </w:numPr>
        <w:spacing w:before="60"/>
        <w:contextualSpacing w:val="0"/>
      </w:pPr>
      <w:r w:rsidRPr="00284F5B">
        <w:t xml:space="preserve">Julia Gaffield, </w:t>
      </w:r>
      <w:r>
        <w:t>“</w:t>
      </w:r>
      <w:r w:rsidRPr="00284F5B">
        <w:t>Complexities of Imagining Haiti: A Study of National Constitutions, 1801-1807,</w:t>
      </w:r>
      <w:r>
        <w:t>”</w:t>
      </w:r>
      <w:r w:rsidRPr="00284F5B">
        <w:t xml:space="preserve"> </w:t>
      </w:r>
      <w:r w:rsidRPr="00284F5B">
        <w:rPr>
          <w:i/>
        </w:rPr>
        <w:t>Journal of Social History</w:t>
      </w:r>
      <w:r w:rsidRPr="00284F5B">
        <w:t xml:space="preserve"> 41: 1 (2007): 81-103 (CP)</w:t>
      </w:r>
    </w:p>
    <w:p w:rsidR="003547BB" w:rsidRPr="00284F5B" w:rsidRDefault="00B6452A" w:rsidP="008041B7">
      <w:pPr>
        <w:pStyle w:val="ListParagraph"/>
        <w:numPr>
          <w:ilvl w:val="0"/>
          <w:numId w:val="30"/>
        </w:numPr>
        <w:spacing w:before="60"/>
        <w:contextualSpacing w:val="0"/>
        <w:rPr>
          <w:rFonts w:asciiTheme="minorHAnsi" w:hAnsiTheme="minorHAnsi"/>
          <w:i/>
        </w:rPr>
      </w:pPr>
      <w:r>
        <w:t>Geggus:</w:t>
      </w:r>
      <w:r w:rsidR="00530C90" w:rsidRPr="00284F5B">
        <w:t xml:space="preserve"> </w:t>
      </w:r>
      <w:r>
        <w:t xml:space="preserve">pg. </w:t>
      </w:r>
      <w:r w:rsidR="00530C90" w:rsidRPr="00284F5B">
        <w:t>168-1</w:t>
      </w:r>
      <w:r>
        <w:t>70;</w:t>
      </w:r>
      <w:r w:rsidR="00530C90" w:rsidRPr="00284F5B">
        <w:t xml:space="preserve"> </w:t>
      </w:r>
      <w:r w:rsidR="00E904A0">
        <w:t xml:space="preserve">documents </w:t>
      </w:r>
      <w:r w:rsidR="00530C90" w:rsidRPr="00284F5B">
        <w:t>#74, 75, 78, 79, 80, 81</w:t>
      </w:r>
    </w:p>
    <w:p w:rsidR="006D7EE6" w:rsidRPr="00060513" w:rsidRDefault="006D7EE6" w:rsidP="008041B7">
      <w:pPr>
        <w:spacing w:before="60"/>
        <w:rPr>
          <w:rFonts w:cs="Times New Roman"/>
        </w:rPr>
      </w:pPr>
    </w:p>
    <w:p w:rsidR="00060513" w:rsidRPr="00273709" w:rsidRDefault="00E8662D" w:rsidP="00060513">
      <w:pPr>
        <w:rPr>
          <w:rFonts w:cs="Times New Roman"/>
          <w:b/>
        </w:rPr>
      </w:pPr>
      <w:r w:rsidRPr="00273709">
        <w:rPr>
          <w:rFonts w:cs="Times New Roman"/>
          <w:b/>
        </w:rPr>
        <w:t xml:space="preserve">11/21: </w:t>
      </w:r>
      <w:r w:rsidR="00060513" w:rsidRPr="00273709">
        <w:rPr>
          <w:rFonts w:cs="Times New Roman"/>
          <w:b/>
        </w:rPr>
        <w:t xml:space="preserve">PRIMARY DOCUMENT RESEARCH PAPERS DUE BY 4:00PM in COLL 208C </w:t>
      </w:r>
    </w:p>
    <w:p w:rsidR="00060513" w:rsidRPr="00060513" w:rsidRDefault="00060513" w:rsidP="00060513">
      <w:pPr>
        <w:rPr>
          <w:rFonts w:cs="Times New Roman"/>
          <w:b/>
          <w:i/>
        </w:rPr>
      </w:pPr>
      <w:r w:rsidRPr="00060513">
        <w:rPr>
          <w:rFonts w:cs="Times New Roman"/>
          <w:b/>
          <w:i/>
        </w:rPr>
        <w:t>No class meeting – University operates on a Friday schedule</w:t>
      </w:r>
    </w:p>
    <w:p w:rsidR="006D7EE6" w:rsidRDefault="006D7EE6" w:rsidP="00BD5AFA">
      <w:pPr>
        <w:rPr>
          <w:rFonts w:cs="Times New Roman"/>
          <w:b/>
        </w:rPr>
      </w:pPr>
      <w:bookmarkStart w:id="0" w:name="_GoBack"/>
      <w:bookmarkEnd w:id="0"/>
    </w:p>
    <w:p w:rsidR="00BB6888" w:rsidRPr="00BB6888" w:rsidRDefault="00BB6888" w:rsidP="00BD5AFA">
      <w:pPr>
        <w:rPr>
          <w:rFonts w:cs="Times New Roman"/>
          <w:b/>
          <w:i/>
        </w:rPr>
      </w:pPr>
      <w:r w:rsidRPr="00BB6888">
        <w:rPr>
          <w:rFonts w:cs="Times New Roman"/>
          <w:b/>
          <w:i/>
        </w:rPr>
        <w:t xml:space="preserve">11/22-25: Thanksgiving Break </w:t>
      </w:r>
    </w:p>
    <w:p w:rsidR="00BB6888" w:rsidRPr="00060513" w:rsidRDefault="00BB6888" w:rsidP="00BD5AFA">
      <w:pPr>
        <w:rPr>
          <w:rFonts w:cs="Times New Roman"/>
          <w:b/>
        </w:rPr>
      </w:pPr>
    </w:p>
    <w:p w:rsidR="006D7EE6" w:rsidRPr="00060513" w:rsidRDefault="00346FFD" w:rsidP="00BD5AFA">
      <w:pPr>
        <w:rPr>
          <w:rFonts w:cs="Times New Roman"/>
          <w:b/>
        </w:rPr>
      </w:pPr>
      <w:r w:rsidRPr="00060513">
        <w:rPr>
          <w:rFonts w:cs="Times New Roman"/>
          <w:b/>
        </w:rPr>
        <w:t xml:space="preserve">11/28: </w:t>
      </w:r>
      <w:r w:rsidR="006D7EE6" w:rsidRPr="00060513">
        <w:rPr>
          <w:rFonts w:cs="Times New Roman"/>
          <w:b/>
        </w:rPr>
        <w:t>Haiti and the Rise of Cuban Slavery</w:t>
      </w:r>
    </w:p>
    <w:p w:rsidR="006D7EE6" w:rsidRDefault="006D7EE6" w:rsidP="00BD5AFA">
      <w:pPr>
        <w:rPr>
          <w:rFonts w:cs="Times New Roman"/>
          <w:i/>
        </w:rPr>
      </w:pPr>
      <w:r w:rsidRPr="00060513">
        <w:rPr>
          <w:rFonts w:cs="Times New Roman"/>
        </w:rPr>
        <w:t xml:space="preserve">Ada Ferrer, </w:t>
      </w:r>
      <w:r w:rsidRPr="00060513">
        <w:rPr>
          <w:rFonts w:cs="Times New Roman"/>
          <w:i/>
        </w:rPr>
        <w:t>Freedom’s Mirror, Cuba and Haiti in the Age of Revolution</w:t>
      </w:r>
    </w:p>
    <w:p w:rsidR="006755FE" w:rsidRPr="006755FE" w:rsidRDefault="006755FE" w:rsidP="00BD5AFA">
      <w:pPr>
        <w:rPr>
          <w:rFonts w:cs="Times New Roman"/>
        </w:rPr>
      </w:pPr>
      <w:r w:rsidRPr="006755FE">
        <w:rPr>
          <w:rFonts w:cs="Times New Roman"/>
        </w:rPr>
        <w:t>Geggus: documents #83, 88</w:t>
      </w:r>
    </w:p>
    <w:p w:rsidR="007C7FCE" w:rsidRPr="00060513" w:rsidRDefault="007C7FCE" w:rsidP="007C7FCE">
      <w:pPr>
        <w:rPr>
          <w:lang w:bidi="en-GB"/>
        </w:rPr>
      </w:pPr>
    </w:p>
    <w:p w:rsidR="000A3321" w:rsidRPr="00060513" w:rsidRDefault="00346FFD" w:rsidP="00414E9F">
      <w:pPr>
        <w:rPr>
          <w:rFonts w:cs="Times New Roman"/>
          <w:b/>
          <w:bCs/>
        </w:rPr>
      </w:pPr>
      <w:r w:rsidRPr="00060513">
        <w:rPr>
          <w:rFonts w:cs="Times New Roman"/>
          <w:b/>
          <w:bCs/>
        </w:rPr>
        <w:t xml:space="preserve">12/5: </w:t>
      </w:r>
      <w:r w:rsidR="000A3321" w:rsidRPr="00060513">
        <w:rPr>
          <w:rFonts w:cs="Times New Roman"/>
          <w:b/>
          <w:bCs/>
        </w:rPr>
        <w:t>Writing the Haitian Revolution – archives and fiction</w:t>
      </w:r>
    </w:p>
    <w:p w:rsidR="000A3321" w:rsidRPr="00060513" w:rsidRDefault="000A3321" w:rsidP="008041B7">
      <w:pPr>
        <w:pStyle w:val="ListParagraph"/>
        <w:numPr>
          <w:ilvl w:val="0"/>
          <w:numId w:val="25"/>
        </w:numPr>
        <w:spacing w:before="60"/>
        <w:contextualSpacing w:val="0"/>
        <w:rPr>
          <w:rFonts w:asciiTheme="minorHAnsi" w:hAnsiTheme="minorHAnsi"/>
        </w:rPr>
      </w:pPr>
      <w:r w:rsidRPr="00060513">
        <w:rPr>
          <w:rFonts w:asciiTheme="minorHAnsi" w:hAnsiTheme="minorHAnsi"/>
        </w:rPr>
        <w:t xml:space="preserve">Michel-Rolphe Trouillot, “The Three Faces of Sans Souci,” in </w:t>
      </w:r>
      <w:r w:rsidRPr="00060513">
        <w:rPr>
          <w:rFonts w:asciiTheme="minorHAnsi" w:hAnsiTheme="minorHAnsi"/>
          <w:i/>
        </w:rPr>
        <w:t>Silencing the Past: Power and the Production of History</w:t>
      </w:r>
      <w:r w:rsidRPr="00060513">
        <w:rPr>
          <w:rFonts w:asciiTheme="minorHAnsi" w:hAnsiTheme="minorHAnsi"/>
        </w:rPr>
        <w:t xml:space="preserve"> (CP)</w:t>
      </w:r>
    </w:p>
    <w:p w:rsidR="00754CD1" w:rsidRDefault="000A3321" w:rsidP="00E8662D">
      <w:pPr>
        <w:pStyle w:val="ListParagraph"/>
        <w:numPr>
          <w:ilvl w:val="0"/>
          <w:numId w:val="25"/>
        </w:numPr>
        <w:spacing w:before="60"/>
        <w:contextualSpacing w:val="0"/>
        <w:rPr>
          <w:rFonts w:asciiTheme="minorHAnsi" w:hAnsiTheme="minorHAnsi"/>
        </w:rPr>
      </w:pPr>
      <w:r w:rsidRPr="00060513">
        <w:rPr>
          <w:rFonts w:asciiTheme="minorHAnsi" w:hAnsiTheme="minorHAnsi"/>
        </w:rPr>
        <w:t xml:space="preserve">Alejo Carpentier, </w:t>
      </w:r>
      <w:r w:rsidRPr="00AD38A1">
        <w:rPr>
          <w:rFonts w:asciiTheme="minorHAnsi" w:hAnsiTheme="minorHAnsi"/>
          <w:i/>
        </w:rPr>
        <w:t>The Kingdom of This World</w:t>
      </w:r>
      <w:r w:rsidRPr="00060513">
        <w:rPr>
          <w:rFonts w:asciiTheme="minorHAnsi" w:hAnsiTheme="minorHAnsi"/>
        </w:rPr>
        <w:t>, excerpts (CP)</w:t>
      </w:r>
    </w:p>
    <w:p w:rsidR="000A3321" w:rsidRPr="00060513" w:rsidRDefault="00754CD1" w:rsidP="00754CD1">
      <w:pPr>
        <w:pStyle w:val="ListParagraph"/>
        <w:spacing w:before="60"/>
        <w:contextualSpacing w:val="0"/>
        <w:rPr>
          <w:rFonts w:asciiTheme="minorHAnsi" w:hAnsiTheme="minorHAnsi"/>
        </w:rPr>
      </w:pPr>
      <w:r>
        <w:rPr>
          <w:rFonts w:asciiTheme="minorHAnsi" w:hAnsiTheme="minorHAnsi"/>
        </w:rPr>
        <w:br/>
      </w:r>
      <w:r w:rsidR="00E8662D" w:rsidRPr="00754CD1">
        <w:rPr>
          <w:rFonts w:asciiTheme="minorHAnsi" w:hAnsiTheme="minorHAnsi"/>
        </w:rPr>
        <w:t xml:space="preserve">Distribution </w:t>
      </w:r>
      <w:r w:rsidRPr="00754CD1">
        <w:rPr>
          <w:rFonts w:asciiTheme="minorHAnsi" w:hAnsiTheme="minorHAnsi"/>
        </w:rPr>
        <w:t xml:space="preserve">and discussion </w:t>
      </w:r>
      <w:r w:rsidR="00E8662D" w:rsidRPr="00754CD1">
        <w:rPr>
          <w:rFonts w:asciiTheme="minorHAnsi" w:hAnsiTheme="minorHAnsi"/>
        </w:rPr>
        <w:t>of final paper assignment</w:t>
      </w:r>
    </w:p>
    <w:sectPr w:rsidR="000A3321" w:rsidRPr="00060513" w:rsidSect="00060513">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9E" w:rsidRDefault="00413D9E" w:rsidP="006641A6">
      <w:r>
        <w:separator/>
      </w:r>
    </w:p>
  </w:endnote>
  <w:endnote w:type="continuationSeparator" w:id="0">
    <w:p w:rsidR="00413D9E" w:rsidRDefault="00413D9E" w:rsidP="0066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939793"/>
      <w:docPartObj>
        <w:docPartGallery w:val="Page Numbers (Bottom of Page)"/>
        <w:docPartUnique/>
      </w:docPartObj>
    </w:sdtPr>
    <w:sdtEndPr>
      <w:rPr>
        <w:noProof/>
      </w:rPr>
    </w:sdtEndPr>
    <w:sdtContent>
      <w:p w:rsidR="006641A6" w:rsidRDefault="006641A6">
        <w:pPr>
          <w:pStyle w:val="Footer"/>
          <w:jc w:val="right"/>
        </w:pPr>
        <w:r>
          <w:fldChar w:fldCharType="begin"/>
        </w:r>
        <w:r>
          <w:instrText xml:space="preserve"> PAGE   \* MERGEFORMAT </w:instrText>
        </w:r>
        <w:r>
          <w:fldChar w:fldCharType="separate"/>
        </w:r>
        <w:r w:rsidR="00273709">
          <w:rPr>
            <w:noProof/>
          </w:rPr>
          <w:t>6</w:t>
        </w:r>
        <w:r>
          <w:rPr>
            <w:noProof/>
          </w:rPr>
          <w:fldChar w:fldCharType="end"/>
        </w:r>
      </w:p>
    </w:sdtContent>
  </w:sdt>
  <w:p w:rsidR="006641A6" w:rsidRDefault="0066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9E" w:rsidRDefault="00413D9E" w:rsidP="006641A6">
      <w:r>
        <w:separator/>
      </w:r>
    </w:p>
  </w:footnote>
  <w:footnote w:type="continuationSeparator" w:id="0">
    <w:p w:rsidR="00413D9E" w:rsidRDefault="00413D9E" w:rsidP="0066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B5B"/>
    <w:multiLevelType w:val="hybridMultilevel"/>
    <w:tmpl w:val="4C6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E2C"/>
    <w:multiLevelType w:val="hybridMultilevel"/>
    <w:tmpl w:val="A9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2A81"/>
    <w:multiLevelType w:val="hybridMultilevel"/>
    <w:tmpl w:val="B6C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191"/>
    <w:multiLevelType w:val="hybridMultilevel"/>
    <w:tmpl w:val="630067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B35F8"/>
    <w:multiLevelType w:val="hybridMultilevel"/>
    <w:tmpl w:val="2F2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67F0"/>
    <w:multiLevelType w:val="hybridMultilevel"/>
    <w:tmpl w:val="800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C45AA"/>
    <w:multiLevelType w:val="hybridMultilevel"/>
    <w:tmpl w:val="9D6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261"/>
    <w:multiLevelType w:val="hybridMultilevel"/>
    <w:tmpl w:val="E02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2459B"/>
    <w:multiLevelType w:val="hybridMultilevel"/>
    <w:tmpl w:val="2848C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1143A"/>
    <w:multiLevelType w:val="hybridMultilevel"/>
    <w:tmpl w:val="4B2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1CD9"/>
    <w:multiLevelType w:val="hybridMultilevel"/>
    <w:tmpl w:val="0CD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D47D38"/>
    <w:multiLevelType w:val="hybridMultilevel"/>
    <w:tmpl w:val="3E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0339E"/>
    <w:multiLevelType w:val="hybridMultilevel"/>
    <w:tmpl w:val="FB26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11F11"/>
    <w:multiLevelType w:val="hybridMultilevel"/>
    <w:tmpl w:val="E8C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2098"/>
    <w:multiLevelType w:val="hybridMultilevel"/>
    <w:tmpl w:val="EB44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634CC"/>
    <w:multiLevelType w:val="hybridMultilevel"/>
    <w:tmpl w:val="72AC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B5154"/>
    <w:multiLevelType w:val="hybridMultilevel"/>
    <w:tmpl w:val="B8A8A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315359"/>
    <w:multiLevelType w:val="hybridMultilevel"/>
    <w:tmpl w:val="9154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110F5"/>
    <w:multiLevelType w:val="hybridMultilevel"/>
    <w:tmpl w:val="750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72C88"/>
    <w:multiLevelType w:val="hybridMultilevel"/>
    <w:tmpl w:val="35C6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F105C"/>
    <w:multiLevelType w:val="hybridMultilevel"/>
    <w:tmpl w:val="B1D6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460EB"/>
    <w:multiLevelType w:val="hybridMultilevel"/>
    <w:tmpl w:val="DA12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235BA"/>
    <w:multiLevelType w:val="hybridMultilevel"/>
    <w:tmpl w:val="A8B4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317CD"/>
    <w:multiLevelType w:val="hybridMultilevel"/>
    <w:tmpl w:val="A68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A38A3"/>
    <w:multiLevelType w:val="hybridMultilevel"/>
    <w:tmpl w:val="F18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73508"/>
    <w:multiLevelType w:val="hybridMultilevel"/>
    <w:tmpl w:val="7F56A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9A76C2"/>
    <w:multiLevelType w:val="hybridMultilevel"/>
    <w:tmpl w:val="97AE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2339A"/>
    <w:multiLevelType w:val="hybridMultilevel"/>
    <w:tmpl w:val="D65A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D44BC"/>
    <w:multiLevelType w:val="hybridMultilevel"/>
    <w:tmpl w:val="7EA86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E80A90"/>
    <w:multiLevelType w:val="hybridMultilevel"/>
    <w:tmpl w:val="BE264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EE6C0D"/>
    <w:multiLevelType w:val="hybridMultilevel"/>
    <w:tmpl w:val="FF7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42631"/>
    <w:multiLevelType w:val="hybridMultilevel"/>
    <w:tmpl w:val="BA1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40751"/>
    <w:multiLevelType w:val="hybridMultilevel"/>
    <w:tmpl w:val="CAEC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15"/>
  </w:num>
  <w:num w:numId="5">
    <w:abstractNumId w:val="32"/>
  </w:num>
  <w:num w:numId="6">
    <w:abstractNumId w:val="10"/>
  </w:num>
  <w:num w:numId="7">
    <w:abstractNumId w:val="23"/>
  </w:num>
  <w:num w:numId="8">
    <w:abstractNumId w:val="26"/>
  </w:num>
  <w:num w:numId="9">
    <w:abstractNumId w:val="31"/>
  </w:num>
  <w:num w:numId="10">
    <w:abstractNumId w:val="12"/>
  </w:num>
  <w:num w:numId="11">
    <w:abstractNumId w:val="22"/>
  </w:num>
  <w:num w:numId="12">
    <w:abstractNumId w:val="29"/>
  </w:num>
  <w:num w:numId="13">
    <w:abstractNumId w:val="0"/>
  </w:num>
  <w:num w:numId="14">
    <w:abstractNumId w:val="21"/>
  </w:num>
  <w:num w:numId="15">
    <w:abstractNumId w:val="13"/>
  </w:num>
  <w:num w:numId="16">
    <w:abstractNumId w:val="24"/>
  </w:num>
  <w:num w:numId="17">
    <w:abstractNumId w:val="7"/>
  </w:num>
  <w:num w:numId="18">
    <w:abstractNumId w:val="16"/>
  </w:num>
  <w:num w:numId="19">
    <w:abstractNumId w:val="25"/>
  </w:num>
  <w:num w:numId="20">
    <w:abstractNumId w:val="14"/>
  </w:num>
  <w:num w:numId="21">
    <w:abstractNumId w:val="30"/>
  </w:num>
  <w:num w:numId="22">
    <w:abstractNumId w:val="5"/>
  </w:num>
  <w:num w:numId="23">
    <w:abstractNumId w:val="19"/>
  </w:num>
  <w:num w:numId="24">
    <w:abstractNumId w:val="1"/>
  </w:num>
  <w:num w:numId="25">
    <w:abstractNumId w:val="2"/>
  </w:num>
  <w:num w:numId="26">
    <w:abstractNumId w:val="18"/>
  </w:num>
  <w:num w:numId="27">
    <w:abstractNumId w:val="27"/>
  </w:num>
  <w:num w:numId="28">
    <w:abstractNumId w:val="4"/>
  </w:num>
  <w:num w:numId="29">
    <w:abstractNumId w:val="9"/>
  </w:num>
  <w:num w:numId="30">
    <w:abstractNumId w:val="6"/>
  </w:num>
  <w:num w:numId="31">
    <w:abstractNumId w:val="28"/>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0A"/>
    <w:rsid w:val="000001BF"/>
    <w:rsid w:val="00005267"/>
    <w:rsid w:val="0002011C"/>
    <w:rsid w:val="00051B3A"/>
    <w:rsid w:val="0005322B"/>
    <w:rsid w:val="00060513"/>
    <w:rsid w:val="00063BC7"/>
    <w:rsid w:val="000710D8"/>
    <w:rsid w:val="00096C1A"/>
    <w:rsid w:val="000A3321"/>
    <w:rsid w:val="000A4826"/>
    <w:rsid w:val="000A5B94"/>
    <w:rsid w:val="000C14AB"/>
    <w:rsid w:val="000C4552"/>
    <w:rsid w:val="000E4292"/>
    <w:rsid w:val="000F6629"/>
    <w:rsid w:val="001076BD"/>
    <w:rsid w:val="00142681"/>
    <w:rsid w:val="001650D3"/>
    <w:rsid w:val="001B1ABB"/>
    <w:rsid w:val="001C3859"/>
    <w:rsid w:val="002346D1"/>
    <w:rsid w:val="00241127"/>
    <w:rsid w:val="00245A43"/>
    <w:rsid w:val="00257ADC"/>
    <w:rsid w:val="002676DF"/>
    <w:rsid w:val="00273709"/>
    <w:rsid w:val="0028258A"/>
    <w:rsid w:val="00284F5B"/>
    <w:rsid w:val="002A5CE6"/>
    <w:rsid w:val="002B268A"/>
    <w:rsid w:val="002C367A"/>
    <w:rsid w:val="002D2834"/>
    <w:rsid w:val="002D33BB"/>
    <w:rsid w:val="002D6F9D"/>
    <w:rsid w:val="002E153D"/>
    <w:rsid w:val="002E3314"/>
    <w:rsid w:val="002F249A"/>
    <w:rsid w:val="00323389"/>
    <w:rsid w:val="00340164"/>
    <w:rsid w:val="00346060"/>
    <w:rsid w:val="00346FFD"/>
    <w:rsid w:val="003547BB"/>
    <w:rsid w:val="00354B3C"/>
    <w:rsid w:val="00365044"/>
    <w:rsid w:val="003703BC"/>
    <w:rsid w:val="00373FAF"/>
    <w:rsid w:val="00374664"/>
    <w:rsid w:val="003764FE"/>
    <w:rsid w:val="00391048"/>
    <w:rsid w:val="003A1482"/>
    <w:rsid w:val="003A56FF"/>
    <w:rsid w:val="003C7B06"/>
    <w:rsid w:val="003D4E8B"/>
    <w:rsid w:val="00402CF3"/>
    <w:rsid w:val="00412396"/>
    <w:rsid w:val="00413D9E"/>
    <w:rsid w:val="00414E9F"/>
    <w:rsid w:val="0041554D"/>
    <w:rsid w:val="00421248"/>
    <w:rsid w:val="00422594"/>
    <w:rsid w:val="00427D63"/>
    <w:rsid w:val="0043283A"/>
    <w:rsid w:val="004365FE"/>
    <w:rsid w:val="00441F1A"/>
    <w:rsid w:val="00450BB2"/>
    <w:rsid w:val="00457119"/>
    <w:rsid w:val="004760B2"/>
    <w:rsid w:val="004820F1"/>
    <w:rsid w:val="004911B3"/>
    <w:rsid w:val="00497425"/>
    <w:rsid w:val="004B043F"/>
    <w:rsid w:val="004B2D30"/>
    <w:rsid w:val="004D5373"/>
    <w:rsid w:val="00501B71"/>
    <w:rsid w:val="00524A29"/>
    <w:rsid w:val="00530C90"/>
    <w:rsid w:val="00531EA8"/>
    <w:rsid w:val="005437A1"/>
    <w:rsid w:val="005631FA"/>
    <w:rsid w:val="0057615B"/>
    <w:rsid w:val="00576F61"/>
    <w:rsid w:val="00586B44"/>
    <w:rsid w:val="00593B94"/>
    <w:rsid w:val="005A7077"/>
    <w:rsid w:val="005B4A32"/>
    <w:rsid w:val="005D390F"/>
    <w:rsid w:val="005E14E3"/>
    <w:rsid w:val="005F1557"/>
    <w:rsid w:val="005F6D02"/>
    <w:rsid w:val="00613404"/>
    <w:rsid w:val="00623F89"/>
    <w:rsid w:val="00641337"/>
    <w:rsid w:val="00650657"/>
    <w:rsid w:val="006510AC"/>
    <w:rsid w:val="006546E5"/>
    <w:rsid w:val="006641A6"/>
    <w:rsid w:val="00664854"/>
    <w:rsid w:val="00664A2B"/>
    <w:rsid w:val="00666491"/>
    <w:rsid w:val="00674FCD"/>
    <w:rsid w:val="006755FE"/>
    <w:rsid w:val="00680987"/>
    <w:rsid w:val="00683797"/>
    <w:rsid w:val="00686B2F"/>
    <w:rsid w:val="006901E1"/>
    <w:rsid w:val="006975D2"/>
    <w:rsid w:val="006A5EC8"/>
    <w:rsid w:val="006B0C69"/>
    <w:rsid w:val="006C13CF"/>
    <w:rsid w:val="006C1495"/>
    <w:rsid w:val="006C32B7"/>
    <w:rsid w:val="006D7EE6"/>
    <w:rsid w:val="006E26A5"/>
    <w:rsid w:val="006F523B"/>
    <w:rsid w:val="00703C9C"/>
    <w:rsid w:val="00735770"/>
    <w:rsid w:val="007408C0"/>
    <w:rsid w:val="0074324B"/>
    <w:rsid w:val="0074752A"/>
    <w:rsid w:val="00750BE5"/>
    <w:rsid w:val="00754CD1"/>
    <w:rsid w:val="00757545"/>
    <w:rsid w:val="00762C70"/>
    <w:rsid w:val="00766E0F"/>
    <w:rsid w:val="00796A13"/>
    <w:rsid w:val="007A10C1"/>
    <w:rsid w:val="007A4C30"/>
    <w:rsid w:val="007A7756"/>
    <w:rsid w:val="007C370A"/>
    <w:rsid w:val="007C4DBD"/>
    <w:rsid w:val="007C7FCE"/>
    <w:rsid w:val="007E5326"/>
    <w:rsid w:val="007F7D39"/>
    <w:rsid w:val="008041B7"/>
    <w:rsid w:val="00807DD0"/>
    <w:rsid w:val="008454ED"/>
    <w:rsid w:val="00857230"/>
    <w:rsid w:val="0088349B"/>
    <w:rsid w:val="0089334B"/>
    <w:rsid w:val="0089636C"/>
    <w:rsid w:val="008A6B2D"/>
    <w:rsid w:val="008A7C6C"/>
    <w:rsid w:val="008B6EC0"/>
    <w:rsid w:val="008D502D"/>
    <w:rsid w:val="008E3B43"/>
    <w:rsid w:val="008F7827"/>
    <w:rsid w:val="00907184"/>
    <w:rsid w:val="00924615"/>
    <w:rsid w:val="0094226E"/>
    <w:rsid w:val="00955F21"/>
    <w:rsid w:val="00991626"/>
    <w:rsid w:val="009A651F"/>
    <w:rsid w:val="009B2323"/>
    <w:rsid w:val="009E0A51"/>
    <w:rsid w:val="00A14961"/>
    <w:rsid w:val="00A251BE"/>
    <w:rsid w:val="00A416FE"/>
    <w:rsid w:val="00A62FDF"/>
    <w:rsid w:val="00A97983"/>
    <w:rsid w:val="00AB022E"/>
    <w:rsid w:val="00AB2B31"/>
    <w:rsid w:val="00AC7484"/>
    <w:rsid w:val="00AD38A1"/>
    <w:rsid w:val="00AD6C79"/>
    <w:rsid w:val="00AD6FEF"/>
    <w:rsid w:val="00AF6AEB"/>
    <w:rsid w:val="00B01377"/>
    <w:rsid w:val="00B11E16"/>
    <w:rsid w:val="00B17E58"/>
    <w:rsid w:val="00B33AD1"/>
    <w:rsid w:val="00B56B8C"/>
    <w:rsid w:val="00B6452A"/>
    <w:rsid w:val="00B722DB"/>
    <w:rsid w:val="00B9546F"/>
    <w:rsid w:val="00BB6888"/>
    <w:rsid w:val="00BB79FA"/>
    <w:rsid w:val="00BC0AFC"/>
    <w:rsid w:val="00BC0EA7"/>
    <w:rsid w:val="00BC2D7A"/>
    <w:rsid w:val="00BD5AFA"/>
    <w:rsid w:val="00BE070D"/>
    <w:rsid w:val="00BE2847"/>
    <w:rsid w:val="00BF4890"/>
    <w:rsid w:val="00C20989"/>
    <w:rsid w:val="00C40DE6"/>
    <w:rsid w:val="00C52B70"/>
    <w:rsid w:val="00C54ADD"/>
    <w:rsid w:val="00C657E0"/>
    <w:rsid w:val="00C65B10"/>
    <w:rsid w:val="00C758A7"/>
    <w:rsid w:val="00C771F0"/>
    <w:rsid w:val="00CA4847"/>
    <w:rsid w:val="00CF4800"/>
    <w:rsid w:val="00CF5250"/>
    <w:rsid w:val="00D102D1"/>
    <w:rsid w:val="00D1094D"/>
    <w:rsid w:val="00D2565E"/>
    <w:rsid w:val="00D66DCE"/>
    <w:rsid w:val="00D73FFB"/>
    <w:rsid w:val="00DE6540"/>
    <w:rsid w:val="00DF28EA"/>
    <w:rsid w:val="00E24E05"/>
    <w:rsid w:val="00E301EE"/>
    <w:rsid w:val="00E460B7"/>
    <w:rsid w:val="00E53F46"/>
    <w:rsid w:val="00E66A3E"/>
    <w:rsid w:val="00E717D0"/>
    <w:rsid w:val="00E85475"/>
    <w:rsid w:val="00E8662D"/>
    <w:rsid w:val="00E904A0"/>
    <w:rsid w:val="00E94A36"/>
    <w:rsid w:val="00E95E02"/>
    <w:rsid w:val="00E95FD3"/>
    <w:rsid w:val="00EA2E13"/>
    <w:rsid w:val="00EB396F"/>
    <w:rsid w:val="00EC5B0C"/>
    <w:rsid w:val="00ED00A2"/>
    <w:rsid w:val="00ED59CE"/>
    <w:rsid w:val="00EF73D6"/>
    <w:rsid w:val="00F15CA8"/>
    <w:rsid w:val="00F508A1"/>
    <w:rsid w:val="00F56A90"/>
    <w:rsid w:val="00FB4C2D"/>
    <w:rsid w:val="00FC4794"/>
    <w:rsid w:val="00FD75C3"/>
    <w:rsid w:val="00FE11E4"/>
    <w:rsid w:val="00FE306E"/>
    <w:rsid w:val="00FE3FF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D78A"/>
  <w15:docId w15:val="{06248B0F-9D87-40D5-9FD1-AE93C6E8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71"/>
    <w:pPr>
      <w:ind w:left="720"/>
      <w:contextualSpacing/>
    </w:pPr>
    <w:rPr>
      <w:rFonts w:ascii="Cambria" w:eastAsia="Cambria" w:hAnsi="Cambria" w:cs="Times New Roman"/>
    </w:rPr>
  </w:style>
  <w:style w:type="character" w:styleId="Hyperlink">
    <w:name w:val="Hyperlink"/>
    <w:basedOn w:val="DefaultParagraphFont"/>
    <w:uiPriority w:val="99"/>
    <w:unhideWhenUsed/>
    <w:rsid w:val="00666491"/>
    <w:rPr>
      <w:color w:val="0000FF" w:themeColor="hyperlink"/>
      <w:u w:val="single"/>
    </w:rPr>
  </w:style>
  <w:style w:type="paragraph" w:styleId="BalloonText">
    <w:name w:val="Balloon Text"/>
    <w:basedOn w:val="Normal"/>
    <w:link w:val="BalloonTextChar"/>
    <w:uiPriority w:val="99"/>
    <w:semiHidden/>
    <w:unhideWhenUsed/>
    <w:rsid w:val="00C54ADD"/>
    <w:rPr>
      <w:rFonts w:ascii="Tahoma" w:hAnsi="Tahoma" w:cs="Tahoma"/>
      <w:sz w:val="16"/>
      <w:szCs w:val="16"/>
    </w:rPr>
  </w:style>
  <w:style w:type="character" w:customStyle="1" w:styleId="BalloonTextChar">
    <w:name w:val="Balloon Text Char"/>
    <w:basedOn w:val="DefaultParagraphFont"/>
    <w:link w:val="BalloonText"/>
    <w:uiPriority w:val="99"/>
    <w:semiHidden/>
    <w:rsid w:val="00C54ADD"/>
    <w:rPr>
      <w:rFonts w:ascii="Tahoma" w:hAnsi="Tahoma" w:cs="Tahoma"/>
      <w:sz w:val="16"/>
      <w:szCs w:val="16"/>
    </w:rPr>
  </w:style>
  <w:style w:type="paragraph" w:styleId="Header">
    <w:name w:val="header"/>
    <w:basedOn w:val="Normal"/>
    <w:link w:val="HeaderChar"/>
    <w:uiPriority w:val="99"/>
    <w:unhideWhenUsed/>
    <w:rsid w:val="006641A6"/>
    <w:pPr>
      <w:tabs>
        <w:tab w:val="center" w:pos="4680"/>
        <w:tab w:val="right" w:pos="9360"/>
      </w:tabs>
    </w:pPr>
  </w:style>
  <w:style w:type="character" w:customStyle="1" w:styleId="HeaderChar">
    <w:name w:val="Header Char"/>
    <w:basedOn w:val="DefaultParagraphFont"/>
    <w:link w:val="Header"/>
    <w:uiPriority w:val="99"/>
    <w:rsid w:val="006641A6"/>
  </w:style>
  <w:style w:type="paragraph" w:styleId="Footer">
    <w:name w:val="footer"/>
    <w:basedOn w:val="Normal"/>
    <w:link w:val="FooterChar"/>
    <w:uiPriority w:val="99"/>
    <w:unhideWhenUsed/>
    <w:rsid w:val="006641A6"/>
    <w:pPr>
      <w:tabs>
        <w:tab w:val="center" w:pos="4680"/>
        <w:tab w:val="right" w:pos="9360"/>
      </w:tabs>
    </w:pPr>
  </w:style>
  <w:style w:type="character" w:customStyle="1" w:styleId="FooterChar">
    <w:name w:val="Footer Char"/>
    <w:basedOn w:val="DefaultParagraphFont"/>
    <w:link w:val="Footer"/>
    <w:uiPriority w:val="99"/>
    <w:rsid w:val="006641A6"/>
  </w:style>
  <w:style w:type="paragraph" w:styleId="BodyText">
    <w:name w:val="Body Text"/>
    <w:basedOn w:val="Normal"/>
    <w:link w:val="BodyTextChar"/>
    <w:uiPriority w:val="99"/>
    <w:unhideWhenUsed/>
    <w:rsid w:val="00CA4847"/>
    <w:pPr>
      <w:spacing w:after="120"/>
    </w:pPr>
  </w:style>
  <w:style w:type="character" w:customStyle="1" w:styleId="BodyTextChar">
    <w:name w:val="Body Text Char"/>
    <w:basedOn w:val="DefaultParagraphFont"/>
    <w:link w:val="BodyText"/>
    <w:uiPriority w:val="99"/>
    <w:rsid w:val="00CA4847"/>
  </w:style>
  <w:style w:type="character" w:styleId="FollowedHyperlink">
    <w:name w:val="FollowedHyperlink"/>
    <w:basedOn w:val="DefaultParagraphFont"/>
    <w:uiPriority w:val="99"/>
    <w:semiHidden/>
    <w:unhideWhenUsed/>
    <w:rsid w:val="00680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eon.co/essays/why-haiti-should-be-at-the-centre-of-the-age-of-revol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on.co/essays/why-haiti-should-be-at-the-centre-of-the-age-of-revolu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enn.edu/academicintegrity/ai_codeofacademicintegrity.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BD3E-52E4-4210-84A4-B943D465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10274</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McLaughlin</dc:creator>
  <cp:keywords/>
  <dc:description/>
  <cp:lastModifiedBy>Fabella, Yvonne E</cp:lastModifiedBy>
  <cp:revision>27</cp:revision>
  <cp:lastPrinted>2018-08-24T19:33:00Z</cp:lastPrinted>
  <dcterms:created xsi:type="dcterms:W3CDTF">2018-08-07T19:59:00Z</dcterms:created>
  <dcterms:modified xsi:type="dcterms:W3CDTF">2018-08-27T14:06:00Z</dcterms:modified>
</cp:coreProperties>
</file>